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3"/>
      <w:bookmarkStart w:id="1" w:name="_Toc37267488"/>
      <w:bookmarkStart w:id="2" w:name="_Toc45893402"/>
      <w:bookmarkStart w:id="3" w:name="_Toc37267487"/>
      <w:bookmarkStart w:id="4" w:name="_Toc37260100"/>
      <w:bookmarkStart w:id="5" w:name="_Toc29811631"/>
      <w:bookmarkStart w:id="6" w:name="_Toc82621710"/>
      <w:bookmarkStart w:id="7" w:name="_Toc74663170"/>
      <w:bookmarkStart w:id="8" w:name="_Toc29811632"/>
      <w:bookmarkStart w:id="9" w:name="_Toc53178580"/>
      <w:bookmarkStart w:id="10" w:name="_Toc44712089"/>
      <w:bookmarkStart w:id="11" w:name="_Toc21127425"/>
      <w:bookmarkStart w:id="12" w:name="_Toc61178806"/>
      <w:bookmarkStart w:id="13" w:name="_Toc90422557"/>
      <w:bookmarkStart w:id="14" w:name="_Toc36817184"/>
      <w:bookmarkStart w:id="15" w:name="_Toc37260099"/>
      <w:bookmarkStart w:id="16" w:name="_Toc61179276"/>
      <w:bookmarkStart w:id="17" w:name="_Toc67916572"/>
      <w:bookmarkStart w:id="18" w:name="_Toc21127426"/>
      <w:bookmarkStart w:id="19" w:name="_Toc5317812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eastAsia="宋体"/>
          <w:b/>
          <w:sz w:val="24"/>
          <w:lang w:val="en-US" w:eastAsia="zh-CN"/>
        </w:rPr>
        <w:t>112</w:t>
      </w:r>
      <w:r>
        <w:rPr>
          <w:b/>
          <w:i/>
          <w:sz w:val="28"/>
        </w:rPr>
        <w:tab/>
      </w:r>
      <w:r>
        <w:rPr>
          <w:rFonts w:hint="eastAsia"/>
          <w:b/>
          <w:sz w:val="24"/>
        </w:rPr>
        <w:t>R4-2412795</w:t>
      </w:r>
    </w:p>
    <w:p>
      <w:pPr>
        <w:pStyle w:val="130"/>
        <w:outlineLvl w:val="0"/>
        <w:rPr>
          <w:b/>
          <w:sz w:val="24"/>
        </w:rPr>
      </w:pPr>
      <w:r>
        <w:rPr>
          <w:rFonts w:hint="eastAsia" w:eastAsia="宋体" w:cs="Arial"/>
          <w:b/>
          <w:bCs/>
          <w:sz w:val="24"/>
          <w:lang w:val="en-US" w:eastAsia="zh-CN"/>
        </w:rPr>
        <w:t>Maastricht, Netherlands, 19 – 23 August, 2024</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rFonts w:hint="eastAsia" w:eastAsia="宋体"/>
                <w:i/>
                <w:lang w:val="en-US"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center"/>
              <w:rPr>
                <w:rFonts w:hint="default" w:eastAsia="宋体"/>
                <w:b/>
                <w:sz w:val="28"/>
                <w:lang w:val="en-US" w:eastAsia="zh-CN"/>
              </w:rPr>
            </w:pPr>
            <w:r>
              <w:rPr>
                <w:rFonts w:hint="eastAsia" w:eastAsia="宋体"/>
                <w:b/>
                <w:sz w:val="28"/>
                <w:lang w:val="en-US" w:eastAsia="zh-CN"/>
              </w:rPr>
              <w:t>38.106</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1" w:firstLineChars="100"/>
              <w:rPr>
                <w:rFonts w:hint="default" w:eastAsia="宋体"/>
                <w:lang w:val="en-US" w:eastAsia="zh-CN"/>
              </w:rPr>
            </w:pPr>
            <w:bookmarkStart w:id="126" w:name="_GoBack"/>
            <w:bookmarkEnd w:id="126"/>
            <w:r>
              <w:rPr>
                <w:rFonts w:hint="default" w:eastAsia="宋体"/>
                <w:b/>
                <w:sz w:val="28"/>
                <w:lang w:val="en-US" w:eastAsia="zh-CN"/>
              </w:rPr>
              <w:t>0090</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rPr>
                <w:rFonts w:hint="eastAsia" w:eastAsia="宋体"/>
                <w:b/>
                <w:sz w:val="28"/>
                <w:lang w:val="en-US" w:eastAsia="zh-CN"/>
              </w:rPr>
              <w:t>18.5.0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CR on 38.106 for NCR requirements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default"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default" w:eastAsia="宋体"/>
                <w:lang w:val="en-US" w:eastAsia="zh-CN"/>
              </w:rPr>
              <w:t>NR_netcon_repeater-Perf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08</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130"/>
              <w:tabs>
                <w:tab w:val="left" w:pos="950"/>
              </w:tabs>
              <w:spacing w:after="0"/>
              <w:ind w:left="242" w:leftChars="103" w:hanging="36" w:hangingChars="20"/>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rPr>
                <w:rFonts w:hint="default"/>
                <w:lang w:val="en-US" w:eastAsia="zh-CN"/>
              </w:rPr>
            </w:pPr>
            <w:r>
              <w:rPr>
                <w:rFonts w:hint="eastAsia"/>
                <w:lang w:val="en-US" w:eastAsia="zh-CN"/>
              </w:rPr>
              <w:t>TS 38.101-4 is missing in Reference.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eastAsia="宋体"/>
                <w:lang w:val="en-US" w:eastAsia="zh-CN"/>
              </w:rPr>
              <w:t>Add TS 38.101-4 in Reference.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lang w:val="en-US" w:eastAsia="zh-CN"/>
              </w:rPr>
              <w:t>TS 38.101-4 will be missing in Reference for 38.106.</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0"/>
              <w:rPr>
                <w:rFonts w:hint="default"/>
                <w:lang w:val="en-US" w:eastAsia="zh-CN"/>
              </w:rPr>
            </w:pPr>
            <w:r>
              <w:rPr>
                <w:rFonts w:hint="eastAsia"/>
                <w:lang w:val="en-US" w:eastAsia="zh-CN"/>
              </w:rPr>
              <w:t>2, 8.2, 9.3, 9.4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w:t>
            </w:r>
            <w:r>
              <w:rPr>
                <w:rFonts w:hint="eastAsia" w:eastAsia="宋体"/>
                <w:lang w:val="en-US" w:eastAsia="zh-CN"/>
              </w:rPr>
              <w:t>...</w:t>
            </w:r>
            <w: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TS</w:t>
            </w:r>
            <w:r>
              <w:rPr>
                <w:rFonts w:hint="eastAsia" w:eastAsia="宋体"/>
                <w:lang w:val="en-US" w:eastAsia="zh-CN"/>
              </w:rPr>
              <w:t xml:space="preserve"> 38.115-1, TS 38.115-2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2"/>
      </w:pPr>
      <w:bookmarkStart w:id="20" w:name="_Toc114252839"/>
      <w:bookmarkStart w:id="21" w:name="_Toc137461979"/>
      <w:bookmarkStart w:id="22" w:name="_Toc106094064"/>
      <w:bookmarkStart w:id="23" w:name="_Toc124157508"/>
      <w:bookmarkStart w:id="24" w:name="_Toc161665290"/>
      <w:bookmarkStart w:id="25" w:name="_Toc155427973"/>
      <w:bookmarkStart w:id="26" w:name="_Toc130586813"/>
      <w:bookmarkStart w:id="27" w:name="_Toc124258901"/>
      <w:bookmarkStart w:id="28" w:name="_Toc169718441"/>
      <w:bookmarkStart w:id="29" w:name="_Toc145426829"/>
      <w:bookmarkStart w:id="30" w:name="_Toc138883932"/>
      <w:bookmarkStart w:id="31" w:name="_Toc123045967"/>
      <w:bookmarkStart w:id="32" w:name="_Toc124259045"/>
      <w:bookmarkStart w:id="33" w:name="_Toc130585802"/>
      <w:bookmarkStart w:id="34" w:name="_Toc97737174"/>
      <w:bookmarkStart w:id="35" w:name="_Toc155780991"/>
      <w:bookmarkStart w:id="36" w:name="_Toc138883788"/>
      <w:r>
        <w:t>2</w:t>
      </w:r>
      <w:r>
        <w:tab/>
      </w:r>
      <w:r>
        <w:t>References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t>The following documents contain provisions which, through reference in this text, constitute provisions of the present document.</w:t>
      </w:r>
    </w:p>
    <w:p>
      <w:pPr>
        <w:pStyle w:val="93"/>
      </w:pPr>
      <w:r>
        <w:t>-</w:t>
      </w:r>
      <w:r>
        <w:tab/>
      </w:r>
      <w:r>
        <w:t>References are either specific (identified by date of publication, edition number, version number, etc.) or non</w:t>
      </w:r>
      <w:r>
        <w:noBreakHyphen/>
      </w:r>
      <w:r>
        <w:t>specific.</w:t>
      </w:r>
    </w:p>
    <w:p>
      <w:pPr>
        <w:pStyle w:val="93"/>
      </w:pPr>
      <w:r>
        <w:t>-</w:t>
      </w:r>
      <w:r>
        <w:tab/>
      </w:r>
      <w:r>
        <w:t>For a specific reference, subsequent revisions do not apply.</w:t>
      </w:r>
    </w:p>
    <w:p>
      <w:pPr>
        <w:pStyle w:val="9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9"/>
      </w:pPr>
      <w:r>
        <w:t>[1]</w:t>
      </w:r>
      <w:r>
        <w:tab/>
      </w:r>
      <w:r>
        <w:t>3GPP TR 21.905: "Vocabulary for 3GPP Specifications".</w:t>
      </w:r>
    </w:p>
    <w:p>
      <w:pPr>
        <w:pStyle w:val="89"/>
      </w:pPr>
      <w:r>
        <w:t>[2]</w:t>
      </w:r>
      <w:r>
        <w:tab/>
      </w:r>
      <w:r>
        <w:t>3GPP TS 38.104: “NR; Base Station (BS) radio transmission and reception”.</w:t>
      </w:r>
    </w:p>
    <w:p>
      <w:pPr>
        <w:pStyle w:val="89"/>
        <w:rPr>
          <w:lang w:val="sv-SE"/>
        </w:rPr>
      </w:pPr>
      <w:r>
        <w:rPr>
          <w:lang w:val="sv-SE"/>
        </w:rPr>
        <w:t>[3]</w:t>
      </w:r>
      <w:r>
        <w:rPr>
          <w:lang w:val="sv-SE"/>
        </w:rPr>
        <w:tab/>
      </w:r>
      <w:r>
        <w:rPr>
          <w:lang w:val="sv-SE"/>
        </w:rPr>
        <w:t>3GPP TR 25.942: "RF system scenarios".</w:t>
      </w:r>
    </w:p>
    <w:p>
      <w:pPr>
        <w:pStyle w:val="89"/>
      </w:pPr>
      <w:r>
        <w:t>[4]</w:t>
      </w:r>
      <w:r>
        <w:tab/>
      </w:r>
      <w:r>
        <w:t>Recommendation ITU-R SM.328: "Spectra and bandwidth of emissions".</w:t>
      </w:r>
    </w:p>
    <w:p>
      <w:pPr>
        <w:pStyle w:val="89"/>
      </w:pPr>
      <w:r>
        <w:t>[5]</w:t>
      </w:r>
      <w:r>
        <w:tab/>
      </w:r>
      <w:r>
        <w:t>ITU-R Recommendation SM.329: "Unwanted emissions in the spurious domain".</w:t>
      </w:r>
    </w:p>
    <w:p>
      <w:pPr>
        <w:pStyle w:val="89"/>
        <w:rPr>
          <w:lang w:eastAsia="zh-CN"/>
        </w:rPr>
      </w:pPr>
      <w:r>
        <w:t>[6]</w:t>
      </w:r>
      <w:r>
        <w:tab/>
      </w:r>
      <w:r>
        <w:t>ITU-R Recommendation M.1545: “Measurement uncertainty as it applies to test limits for the terrestrial component of International Mobile Telecommunications – 2000”.</w:t>
      </w:r>
    </w:p>
    <w:p>
      <w:pPr>
        <w:pStyle w:val="89"/>
        <w:ind w:left="1704" w:hanging="1420"/>
      </w:pPr>
      <w:r>
        <w:t>[7]</w:t>
      </w:r>
      <w:r>
        <w:tab/>
      </w:r>
      <w:r>
        <w:t>3GPP TS 38.115-1: “NR; Repeater conformance testing - Part 1: Conducted conformance testing”.</w:t>
      </w:r>
    </w:p>
    <w:p>
      <w:pPr>
        <w:pStyle w:val="89"/>
        <w:ind w:left="1704" w:hanging="1420"/>
      </w:pPr>
      <w:r>
        <w:t>[8]</w:t>
      </w:r>
      <w:r>
        <w:tab/>
      </w:r>
      <w:r>
        <w:t>3GPP TS 38.115-2: “NR; Repeater conformance testing - Part 2: Radiated conformance testing”.</w:t>
      </w:r>
    </w:p>
    <w:p>
      <w:pPr>
        <w:pStyle w:val="89"/>
      </w:pPr>
      <w:r>
        <w:t>[9]</w:t>
      </w:r>
      <w:r>
        <w:tab/>
      </w:r>
      <w:r>
        <w:t>ERC Recommendation 74-01, "Unwanted emissions in the spurious domain".</w:t>
      </w:r>
    </w:p>
    <w:p>
      <w:pPr>
        <w:pStyle w:val="89"/>
      </w:pPr>
      <w:r>
        <w:t>[10]</w:t>
      </w:r>
      <w:r>
        <w:tab/>
      </w:r>
      <w:r>
        <w:t>"Title 47 of the Code of Federal Regulations (CFR)", Federal Communications Commission.</w:t>
      </w:r>
      <w:r>
        <w:tab/>
      </w:r>
    </w:p>
    <w:p>
      <w:pPr>
        <w:pStyle w:val="89"/>
      </w:pPr>
      <w:r>
        <w:rPr>
          <w:rFonts w:hint="eastAsia"/>
        </w:rPr>
        <w:t>[</w:t>
      </w:r>
      <w:r>
        <w:t>11</w:t>
      </w:r>
      <w:r>
        <w:rPr>
          <w:rFonts w:hint="eastAsia"/>
        </w:rPr>
        <w:t>]</w:t>
      </w:r>
      <w:r>
        <w:rPr>
          <w:rFonts w:hint="eastAsia"/>
        </w:rPr>
        <w:tab/>
      </w:r>
      <w:r>
        <w:t>Void</w:t>
      </w:r>
    </w:p>
    <w:p>
      <w:pPr>
        <w:pStyle w:val="89"/>
      </w:pPr>
      <w:r>
        <w:t>[12]</w:t>
      </w:r>
      <w:r>
        <w:tab/>
      </w:r>
      <w:r>
        <w:t>Void</w:t>
      </w:r>
    </w:p>
    <w:p>
      <w:pPr>
        <w:pStyle w:val="89"/>
      </w:pPr>
      <w:r>
        <w:t>[13]</w:t>
      </w:r>
      <w:r>
        <w:tab/>
      </w:r>
      <w:r>
        <w:t>3GPP TS 38.101-1: “NR User Equipment (UE) radio transmission and reception; Part 1: Range 1 Standalone”.</w:t>
      </w:r>
    </w:p>
    <w:p>
      <w:pPr>
        <w:pStyle w:val="89"/>
      </w:pPr>
      <w:r>
        <w:t>[14]</w:t>
      </w:r>
      <w:r>
        <w:tab/>
      </w:r>
      <w:r>
        <w:t xml:space="preserve">3GPP TS 38.101-2: “NR User Equipment (UE) radio transmission and reception: Part 2: Range 2 Standalone”. </w:t>
      </w:r>
    </w:p>
    <w:p>
      <w:pPr>
        <w:pStyle w:val="89"/>
      </w:pPr>
      <w:r>
        <w:t>[</w:t>
      </w:r>
      <w:r>
        <w:rPr>
          <w:lang w:eastAsia="zh-CN"/>
        </w:rPr>
        <w:t>15</w:t>
      </w:r>
      <w:r>
        <w:t>]</w:t>
      </w:r>
      <w:r>
        <w:tab/>
      </w:r>
      <w:r>
        <w:t>Void</w:t>
      </w:r>
    </w:p>
    <w:p>
      <w:pPr>
        <w:pStyle w:val="89"/>
      </w:pPr>
      <w:r>
        <w:t>[16]</w:t>
      </w:r>
      <w:r>
        <w:tab/>
      </w:r>
      <w:r>
        <w:t>Void</w:t>
      </w:r>
    </w:p>
    <w:p>
      <w:pPr>
        <w:pStyle w:val="89"/>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pPr>
        <w:pStyle w:val="89"/>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pPr>
        <w:pStyle w:val="89"/>
        <w:rPr>
          <w:rFonts w:cs="Arial"/>
          <w:szCs w:val="34"/>
          <w:lang w:eastAsia="zh-CN"/>
        </w:rPr>
      </w:pPr>
      <w:r>
        <w:rPr>
          <w:rFonts w:cs="Arial"/>
          <w:szCs w:val="34"/>
          <w:lang w:eastAsia="zh-CN"/>
        </w:rPr>
        <w:t>[19]</w:t>
      </w:r>
      <w:r>
        <w:rPr>
          <w:rFonts w:cs="Arial"/>
          <w:szCs w:val="34"/>
          <w:lang w:eastAsia="zh-CN"/>
        </w:rPr>
        <w:tab/>
      </w:r>
      <w:r>
        <w:rPr>
          <w:lang w:eastAsia="zh-CN"/>
        </w:rPr>
        <w:t>Void</w:t>
      </w:r>
    </w:p>
    <w:p>
      <w:pPr>
        <w:pStyle w:val="89"/>
        <w:rPr>
          <w:rFonts w:cs="Arial"/>
          <w:szCs w:val="34"/>
          <w:lang w:eastAsia="zh-CN"/>
        </w:rPr>
      </w:pPr>
      <w:r>
        <w:rPr>
          <w:rFonts w:hint="eastAsia" w:cs="Arial"/>
          <w:szCs w:val="34"/>
          <w:lang w:eastAsia="zh-CN"/>
        </w:rPr>
        <w:t>[20]</w:t>
      </w:r>
      <w:r>
        <w:rPr>
          <w:rFonts w:hint="eastAsia" w:cs="Arial"/>
          <w:szCs w:val="34"/>
          <w:lang w:eastAsia="zh-CN"/>
        </w:rPr>
        <w:tab/>
      </w:r>
      <w:r>
        <w:rPr>
          <w:rFonts w:hint="eastAsia" w:cs="Arial"/>
          <w:szCs w:val="34"/>
          <w:lang w:eastAsia="zh-CN"/>
        </w:rPr>
        <w:t xml:space="preserve">3GPP TS 36.104: </w:t>
      </w:r>
      <w:r>
        <w:rPr>
          <w:rFonts w:cs="Arial"/>
          <w:szCs w:val="34"/>
          <w:lang w:eastAsia="zh-CN"/>
        </w:rPr>
        <w:t>“Evolved Universal Terrestrial Radio Access (E-UTRA);</w:t>
      </w:r>
      <w:r>
        <w:rPr>
          <w:rFonts w:hint="eastAsia" w:cs="Arial"/>
          <w:szCs w:val="34"/>
          <w:lang w:eastAsia="zh-CN"/>
        </w:rPr>
        <w:t xml:space="preserve"> </w:t>
      </w:r>
      <w:r>
        <w:rPr>
          <w:rFonts w:cs="Arial"/>
          <w:szCs w:val="34"/>
          <w:lang w:eastAsia="zh-CN"/>
        </w:rPr>
        <w:t>Base Station (BS) radio transmission and reception”</w:t>
      </w:r>
    </w:p>
    <w:p>
      <w:pPr>
        <w:pStyle w:val="89"/>
      </w:pPr>
      <w:r>
        <w:rPr>
          <w:rFonts w:hint="eastAsia" w:cs="Arial"/>
          <w:szCs w:val="34"/>
          <w:lang w:eastAsia="zh-CN"/>
        </w:rPr>
        <w:t>[21]</w:t>
      </w:r>
      <w:r>
        <w:rPr>
          <w:rFonts w:hint="eastAsia" w:cs="Arial"/>
          <w:szCs w:val="34"/>
          <w:lang w:eastAsia="zh-CN"/>
        </w:rPr>
        <w:tab/>
      </w:r>
      <w:ins w:id="0" w:author="ZTE-Kun Yao" w:date="2024-08-09T17:16:05Z">
        <w:r>
          <w:rPr>
            <w:rFonts w:hint="eastAsia" w:cs="Arial"/>
            <w:szCs w:val="34"/>
            <w:lang w:eastAsia="zh-CN"/>
            <w:rPrChange w:id="1" w:author="ZTE-Kun Yao" w:date="2024-08-09T17:16:05Z">
              <w:rPr>
                <w:rFonts w:hint="eastAsia"/>
              </w:rPr>
            </w:rPrChange>
          </w:rPr>
          <w:t>3GPP TR 38.101-4: " NR; User Equipment (UE) radio transmission and reception; Part 4: Performance requirements"</w:t>
        </w:r>
      </w:ins>
      <w:del w:id="2" w:author="ZTE-Kun Yao" w:date="2024-08-09T17:15:46Z">
        <w:r>
          <w:rPr>
            <w:lang w:eastAsia="zh-CN"/>
          </w:rPr>
          <w:delText>Void</w:delText>
        </w:r>
      </w:del>
    </w:p>
    <w:p>
      <w:pPr>
        <w:pStyle w:val="89"/>
      </w:pPr>
      <w:r>
        <w:rPr>
          <w:rFonts w:hint="eastAsia" w:cs="Arial"/>
          <w:szCs w:val="34"/>
          <w:lang w:eastAsia="zh-CN"/>
        </w:rPr>
        <w:t>[2</w:t>
      </w:r>
      <w:r>
        <w:rPr>
          <w:rFonts w:hint="eastAsia" w:cs="Arial"/>
          <w:szCs w:val="34"/>
          <w:lang w:val="en-US" w:eastAsia="zh-CN"/>
        </w:rPr>
        <w:t>2</w:t>
      </w:r>
      <w:r>
        <w:rPr>
          <w:rFonts w:hint="eastAsia" w:cs="Arial"/>
          <w:szCs w:val="34"/>
          <w:lang w:eastAsia="zh-CN"/>
        </w:rPr>
        <w:t>]</w:t>
      </w:r>
      <w:r>
        <w:rPr>
          <w:rFonts w:hint="eastAsia" w:cs="Arial"/>
          <w:szCs w:val="34"/>
          <w:lang w:eastAsia="zh-CN"/>
        </w:rPr>
        <w:tab/>
      </w:r>
      <w:r>
        <w:t>3GPP TS 38.</w:t>
      </w:r>
      <w:r>
        <w:rPr>
          <w:rFonts w:hint="eastAsia" w:eastAsia="宋体"/>
          <w:lang w:val="en-US" w:eastAsia="zh-CN"/>
        </w:rPr>
        <w:t>1</w:t>
      </w:r>
      <w:r>
        <w:rPr>
          <w:lang w:val="en-US" w:eastAsia="zh-CN"/>
        </w:rPr>
        <w:t>74</w:t>
      </w:r>
      <w:r>
        <w:t>: "NR; Integrated Access and Backhaul (IAB) radio transmission and reception".</w:t>
      </w:r>
    </w:p>
    <w:p>
      <w:pPr>
        <w:pStyle w:val="89"/>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3</w:t>
      </w:r>
      <w:r>
        <w:rPr>
          <w:rFonts w:eastAsia="Calibri"/>
          <w:lang w:val="zh-CN" w:eastAsia="zh-CN"/>
        </w:rPr>
        <w:t>]</w:t>
      </w:r>
      <w:r>
        <w:rPr>
          <w:rFonts w:eastAsia="Calibri"/>
          <w:lang w:val="zh-CN" w:eastAsia="zh-CN"/>
        </w:rPr>
        <w:tab/>
      </w:r>
      <w:r>
        <w:rPr>
          <w:rFonts w:eastAsia="Calibri"/>
          <w:lang w:val="zh-CN" w:eastAsia="zh-CN"/>
        </w:rPr>
        <w:t>3GPP TS 38.</w:t>
      </w:r>
      <w:r>
        <w:rPr>
          <w:rFonts w:eastAsia="Calibri"/>
          <w:lang w:eastAsia="zh-CN"/>
        </w:rPr>
        <w:t>331</w:t>
      </w:r>
      <w:r>
        <w:rPr>
          <w:rFonts w:eastAsia="Calibri"/>
          <w:lang w:val="zh-CN" w:eastAsia="zh-CN"/>
        </w:rPr>
        <w:t>: “NR; Radio Resource Control (RRC); Protocol specification”.</w:t>
      </w:r>
    </w:p>
    <w:p>
      <w:pPr>
        <w:pStyle w:val="89"/>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4</w:t>
      </w:r>
      <w:r>
        <w:rPr>
          <w:rFonts w:eastAsia="Calibri"/>
          <w:lang w:val="zh-CN" w:eastAsia="zh-CN"/>
        </w:rPr>
        <w:t>]</w:t>
      </w:r>
      <w:r>
        <w:rPr>
          <w:rFonts w:eastAsia="Calibri"/>
          <w:lang w:val="zh-CN" w:eastAsia="zh-CN"/>
        </w:rPr>
        <w:tab/>
      </w:r>
      <w:r>
        <w:rPr>
          <w:rFonts w:eastAsia="Calibri"/>
          <w:lang w:val="zh-CN" w:eastAsia="zh-CN"/>
        </w:rPr>
        <w:t>3GPP TS 38.213: “NR; Physical layer procedures for control”.</w:t>
      </w:r>
    </w:p>
    <w:p>
      <w:pPr>
        <w:pStyle w:val="89"/>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5</w:t>
      </w:r>
      <w:r>
        <w:rPr>
          <w:rFonts w:eastAsia="Calibri"/>
          <w:lang w:val="zh-CN" w:eastAsia="zh-CN"/>
        </w:rPr>
        <w:t>]</w:t>
      </w:r>
      <w:r>
        <w:rPr>
          <w:rFonts w:eastAsia="Calibri"/>
          <w:lang w:val="zh-CN" w:eastAsia="zh-CN"/>
        </w:rPr>
        <w:tab/>
      </w:r>
      <w:r>
        <w:rPr>
          <w:rFonts w:eastAsia="Calibri"/>
          <w:lang w:val="zh-CN" w:eastAsia="zh-CN"/>
        </w:rPr>
        <w:t>3GPP TS 38.321: “NR; Medium Access Control (MAC) protocol specification”.</w:t>
      </w:r>
    </w:p>
    <w:p>
      <w:pPr>
        <w:pStyle w:val="89"/>
        <w:rPr>
          <w:rFonts w:eastAsia="Calibri"/>
          <w:lang w:val="zh-CN" w:eastAsia="zh-CN"/>
        </w:rPr>
      </w:pPr>
      <w:r>
        <w:rPr>
          <w:rFonts w:eastAsia="Calibri"/>
          <w:lang w:val="zh-CN" w:eastAsia="zh-CN"/>
        </w:rPr>
        <w:t>[2</w:t>
      </w:r>
      <w:r>
        <w:rPr>
          <w:rFonts w:hint="eastAsia" w:eastAsia="Calibri"/>
          <w:lang w:val="en-US" w:eastAsia="zh-CN"/>
        </w:rPr>
        <w:t>6</w:t>
      </w:r>
      <w:r>
        <w:rPr>
          <w:rFonts w:eastAsia="Calibri"/>
          <w:lang w:val="zh-CN" w:eastAsia="zh-CN"/>
        </w:rPr>
        <w:t>]</w:t>
      </w:r>
      <w:r>
        <w:rPr>
          <w:rFonts w:eastAsia="Calibri"/>
          <w:lang w:val="zh-CN" w:eastAsia="zh-CN"/>
        </w:rPr>
        <w:tab/>
      </w:r>
      <w:r>
        <w:rPr>
          <w:rFonts w:eastAsia="Calibri"/>
          <w:lang w:val="zh-CN" w:eastAsia="zh-CN"/>
        </w:rPr>
        <w:t xml:space="preserve">3GPP TS 38.211: “NR; </w:t>
      </w:r>
      <w:r>
        <w:rPr>
          <w:rFonts w:eastAsia="Calibri"/>
          <w:lang w:eastAsia="zh-CN"/>
        </w:rPr>
        <w:t xml:space="preserve"> </w:t>
      </w:r>
      <w:r>
        <w:rPr>
          <w:rFonts w:eastAsia="Calibri"/>
          <w:lang w:val="zh-CN" w:eastAsia="zh-CN"/>
        </w:rPr>
        <w:t>Physical channels and modulation”.</w:t>
      </w:r>
    </w:p>
    <w:p>
      <w:pPr>
        <w:pStyle w:val="89"/>
        <w:rPr>
          <w:rFonts w:eastAsiaTheme="minorEastAsia"/>
          <w:lang w:val="zh-CN" w:eastAsia="zh-CN"/>
        </w:rPr>
      </w:pPr>
      <w:r>
        <w:rPr>
          <w:rFonts w:eastAsia="Calibri"/>
          <w:lang w:val="zh-CN" w:eastAsia="zh-CN"/>
        </w:rPr>
        <w:t>[2</w:t>
      </w:r>
      <w:r>
        <w:rPr>
          <w:rFonts w:hint="eastAsia" w:eastAsia="Calibri"/>
          <w:lang w:val="en-US" w:eastAsia="zh-CN"/>
        </w:rPr>
        <w:t>7</w:t>
      </w:r>
      <w:r>
        <w:rPr>
          <w:rFonts w:eastAsia="Calibri"/>
          <w:lang w:val="zh-CN" w:eastAsia="zh-CN"/>
        </w:rPr>
        <w:t>]</w:t>
      </w:r>
      <w:r>
        <w:rPr>
          <w:rFonts w:eastAsia="Calibri"/>
          <w:lang w:val="zh-CN" w:eastAsia="zh-CN"/>
        </w:rPr>
        <w:tab/>
      </w:r>
      <w:r>
        <w:rPr>
          <w:rFonts w:eastAsia="Calibri"/>
          <w:lang w:val="zh-CN" w:eastAsia="zh-CN"/>
        </w:rPr>
        <w:t>3GPP TS 38.</w:t>
      </w:r>
      <w:r>
        <w:rPr>
          <w:rFonts w:hint="eastAsia" w:eastAsia="Calibri"/>
          <w:lang w:val="en-US" w:eastAsia="zh-CN"/>
        </w:rPr>
        <w:t>306</w:t>
      </w:r>
      <w:r>
        <w:rPr>
          <w:rFonts w:eastAsia="Calibri"/>
          <w:lang w:val="zh-CN" w:eastAsia="zh-CN"/>
        </w:rPr>
        <w:t>: “NR; User Equipment (UE) radio access capabilities”.</w:t>
      </w:r>
    </w:p>
    <w:p>
      <w:pPr>
        <w:pStyle w:val="89"/>
        <w:rPr>
          <w:rFonts w:eastAsia="等线"/>
          <w:lang w:eastAsia="zh-CN"/>
        </w:rPr>
      </w:pPr>
      <w:r>
        <w:rPr>
          <w:rFonts w:hint="eastAsia" w:eastAsia="等线"/>
          <w:lang w:eastAsia="zh-CN"/>
        </w:rPr>
        <w:t>[</w:t>
      </w:r>
      <w:r>
        <w:rPr>
          <w:rFonts w:eastAsia="等线"/>
          <w:lang w:eastAsia="zh-CN"/>
        </w:rPr>
        <w:t>28]</w:t>
      </w:r>
      <w:r>
        <w:rPr>
          <w:rFonts w:eastAsia="等线"/>
          <w:lang w:eastAsia="zh-CN"/>
        </w:rPr>
        <w:tab/>
      </w:r>
      <w:r>
        <w:rPr>
          <w:rFonts w:eastAsia="等线"/>
          <w:lang w:eastAsia="zh-CN"/>
        </w:rPr>
        <w:t>3GPP TS 38.214: "NR; Physical layer procedures for data".</w:t>
      </w:r>
    </w:p>
    <w:p>
      <w:pPr>
        <w:pStyle w:val="89"/>
        <w:rPr>
          <w:lang w:val="en-US" w:eastAsia="zh-CN"/>
        </w:rPr>
      </w:pPr>
      <w:r>
        <w:rPr>
          <w:lang w:val="zh-CN" w:eastAsia="zh-CN"/>
        </w:rPr>
        <w:t>[2</w:t>
      </w:r>
      <w:r>
        <w:rPr>
          <w:rFonts w:hint="eastAsia"/>
          <w:lang w:val="en-US" w:eastAsia="zh-CN"/>
        </w:rPr>
        <w:t>9</w:t>
      </w:r>
      <w:r>
        <w:rPr>
          <w:lang w:val="zh-CN" w:eastAsia="zh-CN"/>
        </w:rPr>
        <w:t>]</w:t>
      </w:r>
      <w:r>
        <w:rPr>
          <w:lang w:val="zh-CN" w:eastAsia="zh-CN"/>
        </w:rPr>
        <w:tab/>
      </w:r>
      <w:r>
        <w:rPr>
          <w:lang w:val="en-US" w:eastAsia="zh-CN"/>
        </w:rPr>
        <w:t>3GPP TR 38.901: "Study on channel model for frequencies from 0.5 to 100 GHz"</w:t>
      </w:r>
    </w:p>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pStyle w:val="6"/>
        <w:ind w:left="0" w:firstLine="0"/>
        <w:rPr>
          <w:lang w:val="en-US" w:eastAsia="zh-CN"/>
        </w:rPr>
      </w:pPr>
      <w:bookmarkStart w:id="37" w:name="_Toc169718797"/>
      <w:bookmarkStart w:id="38" w:name="_Toc161665646"/>
      <w:r>
        <w:rPr>
          <w:rFonts w:hint="eastAsia"/>
          <w:lang w:val="en-US" w:eastAsia="zh-CN"/>
        </w:rPr>
        <w:t>8.2.3.2.2</w:t>
      </w:r>
      <w:r>
        <w:rPr>
          <w:lang w:val="en-US" w:eastAsia="zh-CN"/>
        </w:rPr>
        <w:tab/>
      </w:r>
      <w:r>
        <w:rPr>
          <w:rFonts w:hint="eastAsia"/>
          <w:lang w:val="en-US" w:eastAsia="zh-CN"/>
        </w:rPr>
        <w:t>TDD</w:t>
      </w:r>
      <w:bookmarkEnd w:id="37"/>
      <w:bookmarkEnd w:id="38"/>
    </w:p>
    <w:p>
      <w:pPr>
        <w:pStyle w:val="7"/>
        <w:rPr>
          <w:lang w:val="en-US" w:eastAsia="zh-CN"/>
        </w:rPr>
      </w:pPr>
      <w:bookmarkStart w:id="39" w:name="_Toc169718798"/>
      <w:bookmarkStart w:id="40" w:name="_Toc161665647"/>
      <w:r>
        <w:rPr>
          <w:rFonts w:hint="eastAsia"/>
          <w:lang w:val="en-US" w:eastAsia="zh-CN"/>
        </w:rPr>
        <w:t>8.2.3.2.2.1</w:t>
      </w:r>
      <w:r>
        <w:rPr>
          <w:lang w:val="en-US" w:eastAsia="zh-CN"/>
        </w:rPr>
        <w:tab/>
      </w:r>
      <w:r>
        <w:rPr>
          <w:rFonts w:hint="eastAsia"/>
          <w:lang w:val="en-US" w:eastAsia="zh-CN"/>
        </w:rPr>
        <w:t>Test parameters</w:t>
      </w:r>
      <w:bookmarkEnd w:id="39"/>
      <w:bookmarkEnd w:id="40"/>
    </w:p>
    <w:p>
      <w:pPr>
        <w:rPr>
          <w:lang w:val="en-US" w:eastAsia="zh-CN"/>
        </w:rPr>
      </w:pPr>
      <w:r>
        <w:rPr>
          <w:rFonts w:hint="eastAsia" w:eastAsia="宋体"/>
          <w:lang w:eastAsia="zh-CN"/>
        </w:rPr>
        <w:t xml:space="preserve">Parameters specified in Table </w:t>
      </w:r>
      <w:r>
        <w:rPr>
          <w:rFonts w:hint="eastAsia" w:eastAsia="宋体"/>
          <w:lang w:val="en-US" w:eastAsia="zh-CN"/>
        </w:rPr>
        <w:t>8</w:t>
      </w:r>
      <w:r>
        <w:rPr>
          <w:rFonts w:hint="eastAsia"/>
          <w:lang w:val="en-US" w:eastAsia="zh-CN"/>
        </w:rPr>
        <w:t>.2.3.2.2.1-1</w:t>
      </w:r>
      <w:r>
        <w:rPr>
          <w:rFonts w:hint="eastAsia" w:eastAsia="宋体"/>
          <w:lang w:eastAsia="zh-CN"/>
        </w:rPr>
        <w:t xml:space="preserve"> are applied f</w:t>
      </w:r>
      <w:r>
        <w:rPr>
          <w:rFonts w:eastAsia="宋体"/>
        </w:rPr>
        <w:t>or all test cases in clause</w:t>
      </w:r>
      <w:r>
        <w:rPr>
          <w:rFonts w:hint="eastAsia" w:eastAsia="宋体"/>
          <w:lang w:eastAsia="zh-CN"/>
        </w:rPr>
        <w:t xml:space="preserve"> </w:t>
      </w:r>
      <w:r>
        <w:rPr>
          <w:rFonts w:hint="eastAsia" w:eastAsia="宋体"/>
          <w:lang w:val="en-US" w:eastAsia="zh-CN"/>
        </w:rPr>
        <w:t>8</w:t>
      </w:r>
      <w:r>
        <w:rPr>
          <w:rFonts w:hint="eastAsia"/>
          <w:lang w:val="en-US" w:eastAsia="zh-CN"/>
        </w:rPr>
        <w:t xml:space="preserve">.2.3.2.2.1 </w:t>
      </w:r>
      <w:r>
        <w:rPr>
          <w:rFonts w:eastAsia="宋体"/>
          <w:lang w:eastAsia="zh-CN"/>
        </w:rPr>
        <w:t xml:space="preserve"> </w:t>
      </w:r>
      <w:r>
        <w:rPr>
          <w:rFonts w:hint="eastAsia" w:eastAsia="宋体"/>
          <w:lang w:eastAsia="zh-CN"/>
        </w:rPr>
        <w:t>unless otherwise stated.</w:t>
      </w:r>
    </w:p>
    <w:p>
      <w:pPr>
        <w:pStyle w:val="95"/>
        <w:rPr>
          <w:rFonts w:eastAsia="宋体"/>
          <w:lang w:eastAsia="zh-CN"/>
        </w:rPr>
      </w:pPr>
      <w:r>
        <w:rPr>
          <w:rFonts w:hint="eastAsia"/>
        </w:rPr>
        <w:t xml:space="preserve">Table </w:t>
      </w:r>
      <w:r>
        <w:rPr>
          <w:rFonts w:hint="eastAsia" w:eastAsia="宋体"/>
          <w:lang w:val="en-US" w:eastAsia="zh-CN"/>
        </w:rPr>
        <w:t>8</w:t>
      </w:r>
      <w:r>
        <w:rPr>
          <w:rFonts w:hint="eastAsia"/>
          <w:lang w:val="en-US" w:eastAsia="zh-CN"/>
        </w:rPr>
        <w:t>.2.3.2.2.1-1</w:t>
      </w:r>
      <w:r>
        <w:rPr>
          <w:rFonts w:hint="eastAsia"/>
        </w:rPr>
        <w:t>: Test parameters for testing CQI reporting</w:t>
      </w:r>
    </w:p>
    <w:tbl>
      <w:tblPr>
        <w:tblStyle w:val="62"/>
        <w:tblW w:w="8750"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92"/>
        <w:gridCol w:w="3091"/>
        <w:gridCol w:w="993"/>
        <w:gridCol w:w="691"/>
        <w:gridCol w:w="868"/>
        <w:gridCol w:w="755"/>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eastAsia="宋体"/>
                <w:b/>
                <w:sz w:val="18"/>
              </w:rPr>
              <w:t>Parameter</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eastAsia="宋体"/>
                <w:b/>
                <w:sz w:val="18"/>
              </w:rPr>
              <w:t>Unit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eastAsia="宋体"/>
                <w:b/>
                <w:sz w:val="18"/>
              </w:rPr>
              <w:t>Test 1</w:t>
            </w:r>
          </w:p>
        </w:tc>
        <w:tc>
          <w:tcPr>
            <w:tcW w:w="14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b/>
                <w:sz w:val="18"/>
                <w:lang w:eastAsia="zh-CN"/>
              </w:rPr>
            </w:pPr>
            <w:r>
              <w:rPr>
                <w:rFonts w:hint="eastAsia" w:ascii="Arial" w:hAnsi="Arial" w:eastAsia="宋体"/>
                <w:b/>
                <w:sz w:val="18"/>
                <w:lang w:eastAsia="zh-CN"/>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Bandwidth</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MHz</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Subcarrier spacing</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kHz</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Duplex Mode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TDD UL-DL pattern</w:t>
            </w:r>
            <w:r>
              <w:rPr>
                <w:rFonts w:ascii="Arial" w:hAnsi="Arial"/>
                <w:sz w:val="18"/>
              </w:rPr>
              <w:t xml:space="preserve"> (Note 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rPr>
              <w:t>7D1S2U,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 ??"/>
                <w:sz w:val="18"/>
              </w:rPr>
              <w:t>SNR</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 xml:space="preserve"> dB</w:t>
            </w:r>
          </w:p>
        </w:tc>
        <w:tc>
          <w:tcPr>
            <w:tcW w:w="6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8</w:t>
            </w:r>
          </w:p>
        </w:tc>
        <w:tc>
          <w:tcPr>
            <w:tcW w:w="8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9</w:t>
            </w:r>
          </w:p>
        </w:tc>
        <w:tc>
          <w:tcPr>
            <w:tcW w:w="7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14</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Propagation channel</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Antenna configuration</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rPr>
              <w:t>2×2 with static channel specified in</w:t>
            </w:r>
            <w:r>
              <w:rPr>
                <w:rFonts w:hint="eastAsia" w:ascii="Arial" w:hAnsi="Arial" w:eastAsia="宋体"/>
                <w:sz w:val="18"/>
                <w:lang w:val="en-US" w:eastAsia="zh-CN"/>
              </w:rPr>
              <w:t xml:space="preserve"> Annex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Beamforming Model</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 xml:space="preserve">TBD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NZP CSI-RS for CSI acquisition</w:t>
            </w:r>
          </w:p>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CSI-RS resource</w:t>
            </w:r>
            <w:r>
              <w:rPr>
                <w:rFonts w:hint="eastAsia" w:ascii="Arial" w:hAnsi="Arial" w:eastAsia="宋体"/>
                <w:sz w:val="18"/>
              </w:rPr>
              <w:t xml:space="preserve"> </w:t>
            </w:r>
            <w:r>
              <w:rPr>
                <w:rFonts w:ascii="Arial" w:hAnsi="Arial" w:eastAsia="宋体"/>
                <w:sz w:val="18"/>
              </w:rPr>
              <w:t>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Number of CSI-RS ports (</w:t>
            </w:r>
            <w:r>
              <w:rPr>
                <w:rFonts w:ascii="Arial" w:hAnsi="Arial" w:eastAsia="宋体"/>
                <w:i/>
                <w:sz w:val="18"/>
              </w:rPr>
              <w:t>X</w:t>
            </w:r>
            <w:r>
              <w:rPr>
                <w:rFonts w:ascii="Arial" w:hAnsi="Arial" w:eastAsia="宋体"/>
                <w:sz w:val="18"/>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hint="eastAsia" w:ascii="Arial" w:hAnsi="Arial" w:eastAsia="宋体"/>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CDM 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FD-CDM2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Density (ρ)</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keepNext/>
              <w:keepLines/>
              <w:spacing w:after="0"/>
              <w:rPr>
                <w:rFonts w:ascii="Arial" w:hAnsi="Arial"/>
                <w:b/>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First subcarrier index in the PRB used for CSI-RS (k</w:t>
            </w:r>
            <w:r>
              <w:rPr>
                <w:rFonts w:ascii="Arial" w:hAnsi="Arial" w:eastAsia="宋体"/>
                <w:sz w:val="18"/>
                <w:vertAlign w:val="subscript"/>
              </w:rPr>
              <w:t>0</w:t>
            </w:r>
            <w:r>
              <w:rPr>
                <w:rFonts w:ascii="Arial" w:hAnsi="Arial" w:eastAsia="宋体"/>
                <w:sz w:val="18"/>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Row 3,(6</w:t>
            </w:r>
            <w:r>
              <w:rPr>
                <w:rFonts w:hint="eastAsia" w:ascii="Arial" w:hAnsi="Arial" w:eastAsia="宋体"/>
                <w:sz w:val="18"/>
                <w:lang w:val="en-US" w:eastAsia="zh-CN"/>
              </w:rPr>
              <w:t>,-</w:t>
            </w:r>
            <w:r>
              <w:rPr>
                <w:rFonts w:hint="eastAsia" w:ascii="Arial" w:hAnsi="Arial" w:eastAsia="宋体"/>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First OFDM symbol in the PRB used for CSI-RS (l</w:t>
            </w:r>
            <w:r>
              <w:rPr>
                <w:rFonts w:ascii="Arial" w:hAnsi="Arial" w:eastAsia="宋体"/>
                <w:sz w:val="18"/>
                <w:vertAlign w:val="subscript"/>
              </w:rPr>
              <w:t>0</w:t>
            </w:r>
            <w:r>
              <w:rPr>
                <w:rFonts w:ascii="Arial" w:hAnsi="Arial" w:eastAsia="宋体"/>
                <w:sz w:val="18"/>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NZP CSI-RS-timeConfig</w:t>
            </w:r>
          </w:p>
          <w:p>
            <w:pPr>
              <w:keepNext/>
              <w:keepLines/>
              <w:spacing w:after="0"/>
              <w:rPr>
                <w:rFonts w:ascii="Arial" w:hAnsi="Arial" w:eastAsia="宋体"/>
                <w:sz w:val="18"/>
              </w:rPr>
            </w:pPr>
            <w:r>
              <w:rPr>
                <w:rFonts w:ascii="Arial" w:hAnsi="Arial" w:eastAsia="宋体"/>
                <w:sz w:val="18"/>
              </w:rPr>
              <w:t>periodicity and offset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slot</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ReportConfigType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CQI-table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sz w:val="18"/>
              </w:rPr>
              <w:t xml:space="preserve">Table </w:t>
            </w:r>
            <w:r>
              <w:rPr>
                <w:rFonts w:hint="eastAsia" w:ascii="Arial" w:hAnsi="Arial" w:eastAsia="宋体"/>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reportQuantity</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timeRestrictionFor</w:t>
            </w:r>
            <w:r>
              <w:rPr>
                <w:rFonts w:hint="eastAsia" w:ascii="Arial" w:hAnsi="Arial" w:eastAsia="宋体"/>
                <w:sz w:val="18"/>
              </w:rPr>
              <w:t>Channel</w:t>
            </w:r>
            <w:r>
              <w:rPr>
                <w:rFonts w:ascii="Arial" w:hAnsi="Arial" w:eastAsia="宋体"/>
                <w:sz w:val="18"/>
              </w:rPr>
              <w:t>Measurements</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timeRestrictionForInterferenceMeasurements</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cqi-FormatIndicator</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lang w:val="en-US"/>
              </w:rPr>
              <w:t>Wide</w:t>
            </w:r>
            <w:r>
              <w:rPr>
                <w:rFonts w:ascii="Arial" w:hAnsi="Arial" w:eastAsia="宋体"/>
                <w:sz w:val="18"/>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pmi-FormatIndicator</w:t>
            </w:r>
            <w:r>
              <w:rPr>
                <w:rFonts w:ascii="Arial" w:hAnsi="Arial" w:eastAsia="宋体"/>
                <w:i/>
                <w:sz w:val="18"/>
              </w:rPr>
              <w:t xml:space="preserve">  </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Sub-band Size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RB</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Csi-ReportingBand</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1111111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CSI-Report periodicity and offset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slot</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10</w:t>
            </w:r>
            <w:r>
              <w:rPr>
                <w:rFonts w:ascii="Arial" w:hAnsi="Arial"/>
                <w:sz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aperiodicTriggeringOffset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restart"/>
            <w:tcBorders>
              <w:top w:val="single" w:color="auto" w:sz="4" w:space="0"/>
              <w:left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Codebook configuration</w:t>
            </w: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宋体"/>
                <w:sz w:val="18"/>
              </w:rPr>
              <w:t>Codebook 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typeI-SinglePanel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648" w:type="dxa"/>
            <w:gridSpan w:val="2"/>
            <w:vMerge w:val="continue"/>
            <w:tcBorders>
              <w:left w:val="single" w:color="auto" w:sz="4" w:space="0"/>
              <w:right w:val="single" w:color="auto" w:sz="4" w:space="0"/>
            </w:tcBorders>
          </w:tcPr>
          <w:p>
            <w:pPr>
              <w:keepNext/>
              <w:keepLines/>
              <w:spacing w:after="0"/>
              <w:rPr>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宋体"/>
                <w:sz w:val="18"/>
              </w:rPr>
              <w:t>Codebook Mode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right w:val="single" w:color="auto" w:sz="4" w:space="0"/>
            </w:tcBorders>
          </w:tcPr>
          <w:p>
            <w:pPr>
              <w:keepNext/>
              <w:keepLines/>
              <w:spacing w:after="0"/>
              <w:rPr>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宋体"/>
                <w:sz w:val="18"/>
              </w:rPr>
              <w:t>(CodebookConfig-N1,CodebookConfig-N2)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right w:val="single" w:color="auto" w:sz="4" w:space="0"/>
            </w:tcBorders>
          </w:tcPr>
          <w:p>
            <w:pPr>
              <w:keepNext/>
              <w:keepLines/>
              <w:spacing w:after="0"/>
              <w:rPr>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宋体"/>
                <w:sz w:val="18"/>
              </w:rPr>
              <w:t>CodebookSubsetRestriction</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bottom w:val="single" w:color="auto" w:sz="4" w:space="0"/>
              <w:right w:val="single" w:color="auto" w:sz="4" w:space="0"/>
            </w:tcBorders>
          </w:tcPr>
          <w:p>
            <w:pPr>
              <w:keepNext/>
              <w:keepLines/>
              <w:spacing w:after="0"/>
              <w:rPr>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RI Restriction</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Physical channel for CSI report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lang w:eastAsia="zh-CN"/>
              </w:rPr>
              <w:t>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 xml:space="preserve">CQI/RI/PMI delay </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ms</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Maximum number of HARQ transmission</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Measurement channel</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eastAsia="zh-CN"/>
              </w:rPr>
            </w:pPr>
            <w:r>
              <w:t>M-FR1-NCR.1.3-2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750" w:type="dxa"/>
            <w:gridSpan w:val="8"/>
            <w:tcBorders>
              <w:top w:val="single" w:color="auto" w:sz="4" w:space="0"/>
              <w:left w:val="single" w:color="auto" w:sz="4" w:space="0"/>
              <w:bottom w:val="single" w:color="auto" w:sz="4" w:space="0"/>
              <w:right w:val="single" w:color="auto" w:sz="4" w:space="0"/>
            </w:tcBorders>
            <w:vAlign w:val="center"/>
          </w:tcPr>
          <w:p>
            <w:pPr>
              <w:pStyle w:val="100"/>
              <w:rPr>
                <w:lang w:eastAsia="zh-CN"/>
              </w:rPr>
            </w:pPr>
            <w:r>
              <w:rPr>
                <w:lang w:eastAsia="zh-CN"/>
              </w:rPr>
              <w:t>Note 1:</w:t>
            </w:r>
            <w:r>
              <w:rPr>
                <w:lang w:eastAsia="zh-CN"/>
              </w:rPr>
              <w:tab/>
            </w:r>
            <w:r>
              <w:rPr>
                <w:lang w:eastAsia="zh-CN"/>
              </w:rPr>
              <w:t>The same requirements are applicable for TDD with different UL-DL pattern.</w:t>
            </w:r>
          </w:p>
          <w:p>
            <w:pPr>
              <w:pStyle w:val="100"/>
              <w:rPr>
                <w:rFonts w:eastAsia="宋体"/>
                <w:lang w:val="en-US" w:eastAsia="zh-CN"/>
              </w:rPr>
            </w:pPr>
            <w:r>
              <w:rPr>
                <w:lang w:eastAsia="zh-CN"/>
              </w:rPr>
              <w:t>Note 2:</w:t>
            </w:r>
            <w:r>
              <w:rPr>
                <w:lang w:eastAsia="zh-CN"/>
              </w:rPr>
              <w:tab/>
            </w:r>
            <w:r>
              <w:rPr>
                <w:lang w:eastAsia="zh-CN"/>
              </w:rPr>
              <w:t>SSB, TRS, CSI-RS, and/or other unspecified test parameters with respect to TS 38.101-4 [</w:t>
            </w:r>
            <w:r>
              <w:rPr>
                <w:rFonts w:hint="eastAsia"/>
                <w:lang w:eastAsia="zh-CN"/>
              </w:rPr>
              <w:t>2</w:t>
            </w:r>
            <w:ins w:id="3" w:author="ZTE-Kun Yao" w:date="2024-08-09T17:17:25Z">
              <w:r>
                <w:rPr>
                  <w:rFonts w:hint="eastAsia"/>
                  <w:lang w:val="en-US" w:eastAsia="zh-CN"/>
                </w:rPr>
                <w:t>1</w:t>
              </w:r>
            </w:ins>
            <w:del w:id="4" w:author="ZTE-Kun Yao" w:date="2024-08-09T17:17:25Z">
              <w:r>
                <w:rPr>
                  <w:rFonts w:hint="eastAsia"/>
                  <w:lang w:eastAsia="zh-CN"/>
                </w:rPr>
                <w:delText>8</w:delText>
              </w:r>
            </w:del>
            <w:r>
              <w:rPr>
                <w:lang w:eastAsia="zh-CN"/>
              </w:rPr>
              <w:t>] are left up to test implementation, if transmitted or needed.</w:t>
            </w:r>
          </w:p>
        </w:tc>
      </w:tr>
    </w:tbl>
    <w:p>
      <w:pPr>
        <w:rPr>
          <w:rFonts w:eastAsia="宋体"/>
        </w:rPr>
      </w:pPr>
    </w:p>
    <w:p>
      <w:pPr>
        <w:tabs>
          <w:tab w:val="left" w:pos="2000"/>
        </w:tabs>
        <w:ind w:left="0" w:leftChars="0" w:firstLine="0" w:firstLineChars="0"/>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pStyle w:val="6"/>
        <w:rPr>
          <w:lang w:val="en-US" w:eastAsia="zh-CN"/>
        </w:rPr>
      </w:pPr>
      <w:bookmarkStart w:id="41" w:name="_Toc169718804"/>
      <w:bookmarkStart w:id="42" w:name="_Toc161665653"/>
      <w:r>
        <w:rPr>
          <w:rFonts w:hint="eastAsia"/>
          <w:lang w:val="en-US" w:eastAsia="zh-CN"/>
        </w:rPr>
        <w:t>8.2.3.3.2</w:t>
      </w:r>
      <w:r>
        <w:rPr>
          <w:lang w:val="en-US" w:eastAsia="zh-CN"/>
        </w:rPr>
        <w:tab/>
      </w:r>
      <w:r>
        <w:rPr>
          <w:rFonts w:hint="eastAsia"/>
          <w:lang w:val="en-US" w:eastAsia="zh-CN"/>
        </w:rPr>
        <w:t>TDD</w:t>
      </w:r>
      <w:bookmarkEnd w:id="41"/>
      <w:bookmarkEnd w:id="42"/>
      <w:r>
        <w:rPr>
          <w:rFonts w:hint="eastAsia"/>
          <w:lang w:val="en-US" w:eastAsia="zh-CN"/>
        </w:rPr>
        <w:t xml:space="preserve"> </w:t>
      </w:r>
    </w:p>
    <w:p>
      <w:pPr>
        <w:pStyle w:val="7"/>
        <w:rPr>
          <w:lang w:val="en-US" w:eastAsia="zh-CN"/>
        </w:rPr>
      </w:pPr>
      <w:bookmarkStart w:id="43" w:name="_Toc161665654"/>
      <w:bookmarkStart w:id="44" w:name="_Toc169718805"/>
      <w:r>
        <w:rPr>
          <w:rFonts w:hint="eastAsia"/>
          <w:lang w:val="en-US" w:eastAsia="zh-CN"/>
        </w:rPr>
        <w:t>8.2.3.3.2.1</w:t>
      </w:r>
      <w:r>
        <w:rPr>
          <w:lang w:val="en-US" w:eastAsia="zh-CN"/>
        </w:rPr>
        <w:tab/>
      </w:r>
      <w:r>
        <w:rPr>
          <w:rFonts w:hint="eastAsia"/>
          <w:lang w:val="en-US" w:eastAsia="zh-CN"/>
        </w:rPr>
        <w:t>Test parameters</w:t>
      </w:r>
      <w:bookmarkEnd w:id="43"/>
      <w:bookmarkEnd w:id="44"/>
    </w:p>
    <w:p>
      <w:r>
        <w:rPr>
          <w:rFonts w:hint="eastAsia" w:eastAsia="宋体"/>
          <w:lang w:eastAsia="zh-CN"/>
        </w:rPr>
        <w:t xml:space="preserve">Parameters specified in Table </w:t>
      </w:r>
      <w:r>
        <w:rPr>
          <w:rFonts w:hint="eastAsia" w:eastAsia="宋体"/>
          <w:lang w:val="en-US" w:eastAsia="zh-CN"/>
        </w:rPr>
        <w:t>8</w:t>
      </w:r>
      <w:r>
        <w:rPr>
          <w:rFonts w:hint="eastAsia"/>
          <w:lang w:val="en-US" w:eastAsia="zh-CN"/>
        </w:rPr>
        <w:t>.2.3.3.2.1 -1</w:t>
      </w:r>
      <w:r>
        <w:rPr>
          <w:rFonts w:hint="eastAsia" w:eastAsia="宋体"/>
          <w:lang w:eastAsia="zh-CN"/>
        </w:rPr>
        <w:t xml:space="preserve"> are applied f</w:t>
      </w:r>
      <w:r>
        <w:rPr>
          <w:rFonts w:eastAsia="宋体"/>
        </w:rPr>
        <w:t>or all test cases in clause</w:t>
      </w:r>
      <w:r>
        <w:rPr>
          <w:rFonts w:hint="eastAsia" w:eastAsia="宋体"/>
          <w:lang w:eastAsia="zh-CN"/>
        </w:rPr>
        <w:t xml:space="preserve"> </w:t>
      </w:r>
      <w:r>
        <w:rPr>
          <w:rFonts w:hint="eastAsia" w:eastAsia="宋体"/>
          <w:lang w:val="en-US" w:eastAsia="zh-CN"/>
        </w:rPr>
        <w:t>8</w:t>
      </w:r>
      <w:r>
        <w:rPr>
          <w:rFonts w:hint="eastAsia"/>
          <w:lang w:val="en-US" w:eastAsia="zh-CN"/>
        </w:rPr>
        <w:t>.2.3.3.2.1</w:t>
      </w:r>
      <w:r>
        <w:rPr>
          <w:rFonts w:eastAsia="宋体"/>
          <w:lang w:eastAsia="zh-CN"/>
        </w:rPr>
        <w:t xml:space="preserve"> </w:t>
      </w:r>
      <w:r>
        <w:rPr>
          <w:rFonts w:hint="eastAsia" w:eastAsia="宋体"/>
          <w:lang w:eastAsia="zh-CN"/>
        </w:rPr>
        <w:t>unless otherwise stated.</w:t>
      </w:r>
    </w:p>
    <w:p>
      <w:pPr>
        <w:pStyle w:val="95"/>
        <w:rPr>
          <w:lang w:val="en-US" w:eastAsia="zh-CN"/>
        </w:rPr>
      </w:pPr>
      <w:r>
        <w:t xml:space="preserve">Table </w:t>
      </w:r>
      <w:r>
        <w:rPr>
          <w:rFonts w:hint="eastAsia" w:eastAsia="宋体"/>
          <w:lang w:val="en-US" w:eastAsia="zh-CN"/>
        </w:rPr>
        <w:t>8</w:t>
      </w:r>
      <w:r>
        <w:rPr>
          <w:rFonts w:hint="eastAsia"/>
          <w:lang w:val="en-US" w:eastAsia="zh-CN"/>
        </w:rPr>
        <w:t>.2.3.3.2.1 -1</w:t>
      </w:r>
      <w:r>
        <w:t>: Test parameters for testing CQI reporting</w:t>
      </w:r>
    </w:p>
    <w:tbl>
      <w:tblPr>
        <w:tblStyle w:val="62"/>
        <w:tblW w:w="8750"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92"/>
        <w:gridCol w:w="3091"/>
        <w:gridCol w:w="993"/>
        <w:gridCol w:w="691"/>
        <w:gridCol w:w="868"/>
        <w:gridCol w:w="755"/>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6"/>
            </w:pPr>
            <w:r>
              <w:rPr>
                <w:rFonts w:eastAsia="宋体"/>
              </w:rPr>
              <w:t>Parameter</w:t>
            </w:r>
          </w:p>
        </w:tc>
        <w:tc>
          <w:tcPr>
            <w:tcW w:w="993" w:type="dxa"/>
            <w:tcBorders>
              <w:top w:val="single" w:color="auto" w:sz="4" w:space="0"/>
              <w:left w:val="single" w:color="auto" w:sz="4" w:space="0"/>
              <w:bottom w:val="single" w:color="auto" w:sz="4" w:space="0"/>
              <w:right w:val="single" w:color="auto" w:sz="4" w:space="0"/>
            </w:tcBorders>
            <w:vAlign w:val="center"/>
          </w:tcPr>
          <w:p>
            <w:pPr>
              <w:pStyle w:val="86"/>
            </w:pPr>
            <w:r>
              <w:rPr>
                <w:rFonts w:eastAsia="宋体"/>
              </w:rPr>
              <w:t>Unit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86"/>
            </w:pPr>
            <w:r>
              <w:rPr>
                <w:rFonts w:eastAsia="宋体"/>
              </w:rPr>
              <w:t>Test 1</w:t>
            </w:r>
          </w:p>
        </w:tc>
        <w:tc>
          <w:tcPr>
            <w:tcW w:w="1459" w:type="dxa"/>
            <w:gridSpan w:val="2"/>
            <w:tcBorders>
              <w:top w:val="single" w:color="auto" w:sz="4" w:space="0"/>
              <w:left w:val="single" w:color="auto" w:sz="4" w:space="0"/>
              <w:bottom w:val="single" w:color="auto" w:sz="4" w:space="0"/>
              <w:right w:val="single" w:color="auto" w:sz="4" w:space="0"/>
            </w:tcBorders>
            <w:vAlign w:val="center"/>
          </w:tcPr>
          <w:p>
            <w:pPr>
              <w:pStyle w:val="86"/>
              <w:rPr>
                <w:rFonts w:eastAsia="宋体"/>
                <w:lang w:eastAsia="zh-CN"/>
              </w:rPr>
            </w:pPr>
            <w:r>
              <w:rPr>
                <w:rFonts w:hint="eastAsia" w:eastAsia="宋体"/>
                <w:lang w:eastAsia="zh-CN"/>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Bandwidth</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MHz</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Subcarrier spacing</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kHz</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Duplex Mode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TDD UL-DL pattern</w:t>
            </w:r>
            <w:r>
              <w:t xml:space="preserve"> (Note 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rPr>
              <w:t>7D1S2U,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 ??"/>
              </w:rPr>
              <w:t>SNR</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 xml:space="preserve"> dB</w:t>
            </w:r>
          </w:p>
        </w:tc>
        <w:tc>
          <w:tcPr>
            <w:tcW w:w="6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5</w:t>
            </w:r>
          </w:p>
        </w:tc>
        <w:tc>
          <w:tcPr>
            <w:tcW w:w="8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6</w:t>
            </w:r>
          </w:p>
        </w:tc>
        <w:tc>
          <w:tcPr>
            <w:tcW w:w="7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eastAsia="zh-CN"/>
              </w:rPr>
              <w:t>1</w:t>
            </w:r>
            <w:r>
              <w:rPr>
                <w:rFonts w:hint="eastAsia" w:ascii="Arial" w:hAnsi="Arial" w:eastAsia="宋体"/>
                <w:sz w:val="18"/>
                <w:lang w:val="en-US" w:eastAsia="zh-CN"/>
              </w:rPr>
              <w:t>1</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eastAsia="zh-CN"/>
              </w:rPr>
              <w:t>1</w:t>
            </w:r>
            <w:r>
              <w:rPr>
                <w:rFonts w:hint="eastAsia" w:ascii="Arial" w:hAnsi="Arial" w:eastAsia="宋体"/>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Propagation channel</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Antenna configuration</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rPr>
              <w:t>2×</w:t>
            </w:r>
            <w:r>
              <w:rPr>
                <w:rFonts w:hint="eastAsia" w:ascii="Arial" w:hAnsi="Arial" w:eastAsia="宋体"/>
                <w:sz w:val="18"/>
                <w:lang w:val="en-US" w:eastAsia="zh-CN"/>
              </w:rPr>
              <w:t>4</w:t>
            </w:r>
            <w:r>
              <w:rPr>
                <w:rFonts w:ascii="Arial" w:hAnsi="Arial" w:eastAsia="宋体"/>
                <w:sz w:val="18"/>
              </w:rPr>
              <w:t xml:space="preserve"> with static channel specified in</w:t>
            </w:r>
            <w:r>
              <w:rPr>
                <w:rFonts w:hint="eastAsia" w:ascii="Arial" w:hAnsi="Arial" w:eastAsia="宋体"/>
                <w:sz w:val="18"/>
                <w:lang w:val="en-US" w:eastAsia="zh-CN"/>
              </w:rPr>
              <w:t xml:space="preserve"> Annex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Beamforming Model</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 xml:space="preserve">TBD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restart"/>
            <w:tcBorders>
              <w:top w:val="single" w:color="auto" w:sz="4" w:space="0"/>
              <w:left w:val="single" w:color="auto" w:sz="4" w:space="0"/>
              <w:right w:val="single" w:color="auto" w:sz="4" w:space="0"/>
            </w:tcBorders>
            <w:vAlign w:val="center"/>
          </w:tcPr>
          <w:p>
            <w:pPr>
              <w:pStyle w:val="85"/>
              <w:rPr>
                <w:rFonts w:eastAsia="宋体"/>
              </w:rPr>
            </w:pPr>
            <w:r>
              <w:rPr>
                <w:rFonts w:eastAsia="宋体"/>
              </w:rPr>
              <w:t>NZP CSI-RS for CSI acquisition</w:t>
            </w:r>
          </w:p>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CSI-RS resource</w:t>
            </w:r>
            <w:r>
              <w:rPr>
                <w:rFonts w:hint="eastAsia" w:eastAsia="宋体"/>
              </w:rPr>
              <w:t xml:space="preserve"> </w:t>
            </w:r>
            <w:r>
              <w:rPr>
                <w:rFonts w:eastAsia="宋体"/>
              </w:rPr>
              <w:t>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Number of CSI-RS ports (</w:t>
            </w:r>
            <w:r>
              <w:rPr>
                <w:rFonts w:eastAsia="宋体"/>
                <w:i/>
              </w:rPr>
              <w:t>X</w:t>
            </w:r>
            <w:r>
              <w:rPr>
                <w:rFonts w:eastAsia="宋体"/>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hint="eastAsia" w:ascii="Arial" w:hAnsi="Arial" w:eastAsia="宋体"/>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CDM 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FD-CDM2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Density (ρ)</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pStyle w:val="85"/>
              <w:rPr>
                <w:b/>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First subcarrier index in the PRB used for CSI-RS (k</w:t>
            </w:r>
            <w:r>
              <w:rPr>
                <w:rFonts w:eastAsia="宋体"/>
                <w:vertAlign w:val="subscript"/>
              </w:rPr>
              <w:t>0</w:t>
            </w:r>
            <w:r>
              <w:rPr>
                <w:rFonts w:eastAsia="宋体"/>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Row 3,(6</w:t>
            </w:r>
            <w:r>
              <w:rPr>
                <w:rFonts w:hint="eastAsia" w:ascii="Arial" w:hAnsi="Arial" w:eastAsia="宋体"/>
                <w:sz w:val="18"/>
                <w:lang w:val="en-US" w:eastAsia="zh-CN"/>
              </w:rPr>
              <w:t>,-</w:t>
            </w:r>
            <w:r>
              <w:rPr>
                <w:rFonts w:hint="eastAsia" w:ascii="Arial" w:hAnsi="Arial" w:eastAsia="宋体"/>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First OFDM symbol in the PRB used for CSI-RS (l</w:t>
            </w:r>
            <w:r>
              <w:rPr>
                <w:rFonts w:eastAsia="宋体"/>
                <w:vertAlign w:val="subscript"/>
              </w:rPr>
              <w:t>0</w:t>
            </w:r>
            <w:r>
              <w:rPr>
                <w:rFonts w:eastAsia="宋体"/>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bottom w:val="single" w:color="auto" w:sz="4" w:space="0"/>
              <w:right w:val="single" w:color="auto" w:sz="4" w:space="0"/>
            </w:tcBorders>
            <w:vAlign w:val="center"/>
          </w:tcPr>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NZP CSI-RS-timeConfig</w:t>
            </w:r>
          </w:p>
          <w:p>
            <w:pPr>
              <w:pStyle w:val="85"/>
              <w:rPr>
                <w:rFonts w:eastAsia="宋体"/>
              </w:rPr>
            </w:pPr>
            <w:r>
              <w:rPr>
                <w:rFonts w:eastAsia="宋体"/>
              </w:rPr>
              <w:t>periodicity and offset</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r>
              <w:t>slot</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宋体"/>
                <w:lang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ReportConfigType</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CQI-table</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宋体"/>
                <w:lang w:eastAsia="zh-CN"/>
              </w:rPr>
            </w:pPr>
            <w:r>
              <w:t xml:space="preserve">Table </w:t>
            </w:r>
            <w:r>
              <w:rPr>
                <w:rFonts w:hint="eastAsia"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reportQuantity</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timeRestrictionFor</w:t>
            </w:r>
            <w:r>
              <w:rPr>
                <w:rFonts w:hint="eastAsia" w:eastAsia="宋体"/>
              </w:rPr>
              <w:t>Channel</w:t>
            </w:r>
            <w:r>
              <w:rPr>
                <w:rFonts w:eastAsia="宋体"/>
              </w:rPr>
              <w:t>Measurements</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timeRestrictionForInterferenceMeasurements</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cqi-FormatIndicator</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lang w:val="en-US"/>
              </w:rPr>
              <w:t>Wide</w:t>
            </w:r>
            <w:r>
              <w:rPr>
                <w:rFonts w:eastAsia="宋体"/>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pmi-FormatIndicator</w:t>
            </w:r>
            <w:r>
              <w:rPr>
                <w:rFonts w:eastAsia="宋体"/>
                <w:i/>
              </w:rPr>
              <w:t xml:space="preserve">  </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Sub-band Size</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RB</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Csi-ReportingBand</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rPr>
                <w:rFonts w:eastAsia="宋体"/>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t>1111111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CSI-Report periodicity and offset</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r>
              <w:t>slot</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宋体"/>
                <w:lang w:eastAsia="zh-CN"/>
              </w:rPr>
              <w:t>10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aperiodicTriggeringOffset</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restart"/>
            <w:tcBorders>
              <w:top w:val="single" w:color="auto" w:sz="4" w:space="0"/>
              <w:left w:val="single" w:color="auto" w:sz="4" w:space="0"/>
              <w:right w:val="single" w:color="auto" w:sz="4" w:space="0"/>
            </w:tcBorders>
            <w:vAlign w:val="center"/>
          </w:tcPr>
          <w:p>
            <w:pPr>
              <w:pStyle w:val="85"/>
            </w:pPr>
            <w:r>
              <w:rPr>
                <w:rFonts w:eastAsia="宋体"/>
              </w:rPr>
              <w:t>Codebook configuration</w:t>
            </w:r>
          </w:p>
        </w:tc>
        <w:tc>
          <w:tcPr>
            <w:tcW w:w="3091" w:type="dxa"/>
            <w:tcBorders>
              <w:top w:val="single" w:color="auto" w:sz="4" w:space="0"/>
              <w:left w:val="single" w:color="auto" w:sz="4" w:space="0"/>
              <w:bottom w:val="single" w:color="auto" w:sz="4" w:space="0"/>
              <w:right w:val="single" w:color="auto" w:sz="4" w:space="0"/>
            </w:tcBorders>
          </w:tcPr>
          <w:p>
            <w:pPr>
              <w:pStyle w:val="85"/>
            </w:pPr>
            <w:r>
              <w:rPr>
                <w:rFonts w:eastAsia="宋体"/>
              </w:rPr>
              <w:t>Codebook Type</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typeI-SinglePanel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right w:val="single" w:color="auto" w:sz="4" w:space="0"/>
            </w:tcBorders>
          </w:tcPr>
          <w:p>
            <w:pPr>
              <w:pStyle w:val="85"/>
            </w:pPr>
          </w:p>
        </w:tc>
        <w:tc>
          <w:tcPr>
            <w:tcW w:w="3091" w:type="dxa"/>
            <w:tcBorders>
              <w:top w:val="single" w:color="auto" w:sz="4" w:space="0"/>
              <w:left w:val="single" w:color="auto" w:sz="4" w:space="0"/>
              <w:bottom w:val="single" w:color="auto" w:sz="4" w:space="0"/>
              <w:right w:val="single" w:color="auto" w:sz="4" w:space="0"/>
            </w:tcBorders>
          </w:tcPr>
          <w:p>
            <w:pPr>
              <w:pStyle w:val="85"/>
            </w:pPr>
            <w:r>
              <w:rPr>
                <w:rFonts w:eastAsia="宋体"/>
              </w:rPr>
              <w:t>Codebook Mode</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right w:val="single" w:color="auto" w:sz="4" w:space="0"/>
            </w:tcBorders>
          </w:tcPr>
          <w:p>
            <w:pPr>
              <w:pStyle w:val="85"/>
            </w:pPr>
          </w:p>
        </w:tc>
        <w:tc>
          <w:tcPr>
            <w:tcW w:w="3091" w:type="dxa"/>
            <w:tcBorders>
              <w:top w:val="single" w:color="auto" w:sz="4" w:space="0"/>
              <w:left w:val="single" w:color="auto" w:sz="4" w:space="0"/>
              <w:bottom w:val="single" w:color="auto" w:sz="4" w:space="0"/>
              <w:right w:val="single" w:color="auto" w:sz="4" w:space="0"/>
            </w:tcBorders>
          </w:tcPr>
          <w:p>
            <w:pPr>
              <w:pStyle w:val="85"/>
            </w:pPr>
            <w:r>
              <w:rPr>
                <w:rFonts w:eastAsia="宋体"/>
              </w:rPr>
              <w:t>(CodebookConfig-N1,CodebookConfig-N2)</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right w:val="single" w:color="auto" w:sz="4" w:space="0"/>
            </w:tcBorders>
          </w:tcPr>
          <w:p>
            <w:pPr>
              <w:pStyle w:val="85"/>
            </w:pPr>
          </w:p>
        </w:tc>
        <w:tc>
          <w:tcPr>
            <w:tcW w:w="3091" w:type="dxa"/>
            <w:tcBorders>
              <w:top w:val="single" w:color="auto" w:sz="4" w:space="0"/>
              <w:left w:val="single" w:color="auto" w:sz="4" w:space="0"/>
              <w:bottom w:val="single" w:color="auto" w:sz="4" w:space="0"/>
              <w:right w:val="single" w:color="auto" w:sz="4" w:space="0"/>
            </w:tcBorders>
          </w:tcPr>
          <w:p>
            <w:pPr>
              <w:pStyle w:val="85"/>
            </w:pPr>
            <w:r>
              <w:rPr>
                <w:rFonts w:eastAsia="宋体"/>
              </w:rPr>
              <w:t>CodebookSubsetRestriction</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t>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bottom w:val="single" w:color="auto" w:sz="4" w:space="0"/>
              <w:right w:val="single" w:color="auto" w:sz="4" w:space="0"/>
            </w:tcBorders>
          </w:tcPr>
          <w:p>
            <w:pPr>
              <w:pStyle w:val="85"/>
            </w:pPr>
          </w:p>
        </w:tc>
        <w:tc>
          <w:tcPr>
            <w:tcW w:w="3091" w:type="dxa"/>
            <w:tcBorders>
              <w:top w:val="single" w:color="auto" w:sz="4" w:space="0"/>
              <w:left w:val="single" w:color="auto" w:sz="4" w:space="0"/>
              <w:bottom w:val="single" w:color="auto" w:sz="4" w:space="0"/>
              <w:right w:val="single" w:color="auto" w:sz="4" w:space="0"/>
            </w:tcBorders>
          </w:tcPr>
          <w:p>
            <w:pPr>
              <w:pStyle w:val="85"/>
              <w:rPr>
                <w:rFonts w:eastAsia="宋体"/>
              </w:rPr>
            </w:pPr>
            <w:r>
              <w:rPr>
                <w:rFonts w:eastAsia="宋体"/>
              </w:rPr>
              <w:t>RI Restriction</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tcPr>
          <w:p>
            <w:pPr>
              <w:pStyle w:val="85"/>
              <w:rPr>
                <w:rFonts w:eastAsia="宋体"/>
              </w:rPr>
            </w:pPr>
            <w:r>
              <w:rPr>
                <w:rFonts w:eastAsia="宋体"/>
              </w:rPr>
              <w:t>Physical channel for CSI report</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lang w:eastAsia="zh-CN"/>
              </w:rPr>
              <w:t>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 xml:space="preserve">CQI/RI/PMI delay </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ms</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宋体"/>
                <w:lang w:eastAsia="zh-CN"/>
              </w:rPr>
            </w:pPr>
            <w:r>
              <w:rPr>
                <w:rFonts w:hint="eastAsia" w:eastAsia="宋体"/>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Maximum number of HARQ transmission</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rPr>
                <w:rFonts w:eastAsia="宋体"/>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Measurement channel</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eastAsia="zh-CN"/>
              </w:rPr>
            </w:pPr>
            <w:r>
              <w:t>M-FR1-NCR.1.3-2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750" w:type="dxa"/>
            <w:gridSpan w:val="8"/>
            <w:tcBorders>
              <w:top w:val="single" w:color="auto" w:sz="4" w:space="0"/>
              <w:left w:val="single" w:color="auto" w:sz="4" w:space="0"/>
              <w:bottom w:val="single" w:color="auto" w:sz="4" w:space="0"/>
              <w:right w:val="single" w:color="auto" w:sz="4" w:space="0"/>
            </w:tcBorders>
            <w:vAlign w:val="center"/>
          </w:tcPr>
          <w:p>
            <w:pPr>
              <w:pStyle w:val="100"/>
              <w:rPr>
                <w:lang w:eastAsia="zh-CN"/>
              </w:rPr>
            </w:pPr>
            <w:r>
              <w:rPr>
                <w:lang w:eastAsia="zh-CN"/>
              </w:rPr>
              <w:t>Note 1:</w:t>
            </w:r>
            <w:r>
              <w:rPr>
                <w:lang w:eastAsia="zh-CN"/>
              </w:rPr>
              <w:tab/>
            </w:r>
            <w:r>
              <w:rPr>
                <w:lang w:eastAsia="zh-CN"/>
              </w:rPr>
              <w:t>The same requirements are applicable for TDD with different UL-DL pattern.</w:t>
            </w:r>
          </w:p>
          <w:p>
            <w:pPr>
              <w:pStyle w:val="100"/>
              <w:rPr>
                <w:rFonts w:eastAsia="宋体"/>
                <w:lang w:val="en-US" w:eastAsia="zh-CN"/>
              </w:rPr>
            </w:pPr>
            <w:r>
              <w:rPr>
                <w:lang w:eastAsia="zh-CN"/>
              </w:rPr>
              <w:t>Note 2:</w:t>
            </w:r>
            <w:r>
              <w:rPr>
                <w:lang w:eastAsia="zh-CN"/>
              </w:rPr>
              <w:tab/>
            </w:r>
            <w:r>
              <w:rPr>
                <w:lang w:eastAsia="zh-CN"/>
              </w:rPr>
              <w:t>SSB, TRS, CSI-RS, and/or other unspecified test parameters with respect to TS 38.101-4 [</w:t>
            </w:r>
            <w:r>
              <w:rPr>
                <w:rFonts w:hint="eastAsia"/>
                <w:lang w:eastAsia="zh-CN"/>
              </w:rPr>
              <w:t>2</w:t>
            </w:r>
            <w:ins w:id="5" w:author="ZTE-Kun Yao" w:date="2024-08-09T17:19:27Z">
              <w:r>
                <w:rPr>
                  <w:rFonts w:hint="eastAsia"/>
                  <w:lang w:val="en-US" w:eastAsia="zh-CN"/>
                </w:rPr>
                <w:t>1</w:t>
              </w:r>
            </w:ins>
            <w:del w:id="6" w:author="ZTE-Kun Yao" w:date="2024-08-09T17:19:26Z">
              <w:r>
                <w:rPr>
                  <w:rFonts w:hint="eastAsia"/>
                  <w:lang w:eastAsia="zh-CN"/>
                </w:rPr>
                <w:delText>8</w:delText>
              </w:r>
            </w:del>
            <w:r>
              <w:rPr>
                <w:lang w:eastAsia="zh-CN"/>
              </w:rPr>
              <w:t>] are left up to test implementation, if transmitted or needed.</w:t>
            </w:r>
          </w:p>
        </w:tc>
      </w:tr>
    </w:tbl>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pStyle w:val="3"/>
        <w:rPr>
          <w:lang w:val="nb-NO" w:eastAsia="zh-CN"/>
        </w:rPr>
      </w:pPr>
      <w:bookmarkStart w:id="45" w:name="_Toc169718810"/>
      <w:bookmarkStart w:id="46" w:name="_Toc74583498"/>
      <w:bookmarkStart w:id="47" w:name="_Toc138946556"/>
      <w:bookmarkStart w:id="48" w:name="_Toc82450941"/>
      <w:bookmarkStart w:id="49" w:name="_Toc138853875"/>
      <w:bookmarkStart w:id="50" w:name="_Toc89949330"/>
      <w:bookmarkStart w:id="51" w:name="_Toc130402262"/>
      <w:bookmarkStart w:id="52" w:name="_Toc161665659"/>
      <w:bookmarkStart w:id="53" w:name="_Toc98763311"/>
      <w:bookmarkStart w:id="54" w:name="_Toc82450293"/>
      <w:bookmarkStart w:id="55" w:name="_Toc76542311"/>
      <w:bookmarkStart w:id="56" w:name="_Toc98755719"/>
      <w:bookmarkStart w:id="57" w:name="_Toc137554813"/>
      <w:bookmarkStart w:id="58" w:name="_Toc106184240"/>
      <w:bookmarkStart w:id="59" w:name="_Toc145531285"/>
      <w:r>
        <w:rPr>
          <w:lang w:val="nb-NO" w:eastAsia="zh-CN"/>
        </w:rPr>
        <w:t>9.3</w:t>
      </w:r>
      <w:r>
        <w:rPr>
          <w:lang w:val="nb-NO" w:eastAsia="zh-CN"/>
        </w:rPr>
        <w:tab/>
      </w:r>
      <w:r>
        <w:rPr>
          <w:lang w:val="nb-NO" w:eastAsia="zh-CN"/>
        </w:rPr>
        <w:t>Demodulation performance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4"/>
        <w:rPr>
          <w:lang w:val="nb-NO" w:eastAsia="zh-CN"/>
        </w:rPr>
      </w:pPr>
      <w:bookmarkStart w:id="60" w:name="_Toc74583502"/>
      <w:bookmarkStart w:id="61" w:name="_Toc82450945"/>
      <w:bookmarkStart w:id="62" w:name="_Toc161665660"/>
      <w:bookmarkStart w:id="63" w:name="_Toc76542315"/>
      <w:bookmarkStart w:id="64" w:name="_Toc106184244"/>
      <w:bookmarkStart w:id="65" w:name="_Toc82450297"/>
      <w:bookmarkStart w:id="66" w:name="_Toc89949334"/>
      <w:bookmarkStart w:id="67" w:name="_Toc138853879"/>
      <w:bookmarkStart w:id="68" w:name="_Toc137554817"/>
      <w:bookmarkStart w:id="69" w:name="_Toc98763315"/>
      <w:bookmarkStart w:id="70" w:name="_Toc169718811"/>
      <w:bookmarkStart w:id="71" w:name="_Toc145531289"/>
      <w:bookmarkStart w:id="72" w:name="_Toc98755723"/>
      <w:bookmarkStart w:id="73" w:name="_Toc130402266"/>
      <w:bookmarkStart w:id="74" w:name="_Toc138946560"/>
      <w:r>
        <w:rPr>
          <w:lang w:val="nb-NO" w:eastAsia="zh-CN"/>
        </w:rPr>
        <w:t>9.3.1</w:t>
      </w:r>
      <w:r>
        <w:rPr>
          <w:lang w:val="nb-NO" w:eastAsia="zh-CN"/>
        </w:rPr>
        <w:tab/>
      </w:r>
      <w:r>
        <w:rPr>
          <w:lang w:val="nb-NO" w:eastAsia="zh-CN"/>
        </w:rPr>
        <w:t>Performance requirements for NCR type 2-O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pStyle w:val="5"/>
        <w:rPr>
          <w:lang w:val="nb-NO" w:eastAsia="zh-CN"/>
        </w:rPr>
      </w:pPr>
      <w:bookmarkStart w:id="75" w:name="_Toc82450298"/>
      <w:bookmarkStart w:id="76" w:name="_Toc137554818"/>
      <w:bookmarkStart w:id="77" w:name="_Toc74583503"/>
      <w:bookmarkStart w:id="78" w:name="_Toc138946561"/>
      <w:bookmarkStart w:id="79" w:name="_Toc145531290"/>
      <w:bookmarkStart w:id="80" w:name="_Toc98755724"/>
      <w:bookmarkStart w:id="81" w:name="_Toc106184245"/>
      <w:bookmarkStart w:id="82" w:name="_Toc161665661"/>
      <w:bookmarkStart w:id="83" w:name="_Toc76542316"/>
      <w:bookmarkStart w:id="84" w:name="_Toc169718812"/>
      <w:bookmarkStart w:id="85" w:name="_Toc89949335"/>
      <w:bookmarkStart w:id="86" w:name="_Toc82450946"/>
      <w:bookmarkStart w:id="87" w:name="_Toc130402267"/>
      <w:bookmarkStart w:id="88" w:name="_Toc138853880"/>
      <w:bookmarkStart w:id="89" w:name="_Toc98763316"/>
      <w:r>
        <w:rPr>
          <w:lang w:val="nb-NO" w:eastAsia="zh-CN"/>
        </w:rPr>
        <w:t>9.3.1.1</w:t>
      </w:r>
      <w:r>
        <w:rPr>
          <w:lang w:val="nb-NO" w:eastAsia="zh-CN"/>
        </w:rPr>
        <w:tab/>
      </w:r>
      <w:r>
        <w:rPr>
          <w:lang w:val="nb-NO" w:eastAsia="zh-CN"/>
        </w:rPr>
        <w:t>Performance requirements for PDSCH</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pPr>
        <w:pStyle w:val="6"/>
      </w:pPr>
      <w:bookmarkStart w:id="90" w:name="_Toc161665662"/>
      <w:bookmarkStart w:id="91" w:name="_Toc169718813"/>
      <w:r>
        <w:t>9.3.1.1.1</w:t>
      </w:r>
      <w:r>
        <w:tab/>
      </w:r>
      <w:r>
        <w:t>General</w:t>
      </w:r>
      <w:bookmarkEnd w:id="90"/>
      <w:bookmarkEnd w:id="91"/>
    </w:p>
    <w:p>
      <w:r>
        <w:t>The performance requirement of PDSCH is determined by (i) a minimum required throughput for a given SNR and (ii) a minimum SNR at which 1% first transmission BLER is achieved. The required throughput is expressed as a fraction of maximum throughput for the FRCs listed in annex B. The throughput requirements assume HARQ retransmissions whereas the 1% BLER requirements are based on the first transmission only.</w:t>
      </w:r>
    </w:p>
    <w:p>
      <w:pPr>
        <w:pStyle w:val="95"/>
      </w:pPr>
      <w:r>
        <w:t>Table: 9.3.1.1.1-1 Test parameters for PDSCH testing</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2259"/>
        <w:gridCol w:w="5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pStyle w:val="86"/>
            </w:pPr>
            <w:r>
              <w:t>Parameter</w:t>
            </w:r>
          </w:p>
        </w:tc>
        <w:tc>
          <w:tcPr>
            <w:tcW w:w="0" w:type="auto"/>
            <w:vAlign w:val="center"/>
          </w:tcPr>
          <w:p>
            <w:pPr>
              <w:pStyle w:val="86"/>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pStyle w:val="85"/>
            </w:pPr>
            <w:r>
              <w:t>Cyclic prefix</w:t>
            </w:r>
          </w:p>
        </w:tc>
        <w:tc>
          <w:tcPr>
            <w:tcW w:w="0" w:type="auto"/>
            <w:vAlign w:val="center"/>
          </w:tcPr>
          <w:p>
            <w:pPr>
              <w:pStyle w:val="87"/>
              <w:rPr>
                <w:lang w:eastAsia="zh-CN"/>
              </w:rPr>
            </w:pPr>
            <w:r>
              <w:rPr>
                <w:rFonts w:hint="eastAsia"/>
                <w:lang w:eastAsia="zh-CN"/>
              </w:rPr>
              <w:t>N</w:t>
            </w:r>
            <w:r>
              <w:rPr>
                <w:lang w:eastAsia="zh-CN"/>
              </w:rPr>
              <w:t>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pStyle w:val="85"/>
            </w:pPr>
            <w:r>
              <w:t>Default TDD UL-DL pattern (Note 1)</w:t>
            </w:r>
          </w:p>
        </w:tc>
        <w:tc>
          <w:tcPr>
            <w:tcW w:w="0" w:type="auto"/>
            <w:vAlign w:val="center"/>
          </w:tcPr>
          <w:p>
            <w:pPr>
              <w:pStyle w:val="87"/>
            </w:pPr>
            <w:r>
              <w:t>3D1S1U, S=10D:2G:2U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pStyle w:val="85"/>
            </w:pPr>
            <w:r>
              <w:t>HARQ</w:t>
            </w:r>
          </w:p>
        </w:tc>
        <w:tc>
          <w:tcPr>
            <w:tcW w:w="0" w:type="auto"/>
            <w:vAlign w:val="center"/>
          </w:tcPr>
          <w:p>
            <w:pPr>
              <w:pStyle w:val="85"/>
            </w:pPr>
            <w:r>
              <w:t>Maximum number of HARQ transmissions</w:t>
            </w:r>
          </w:p>
        </w:tc>
        <w:tc>
          <w:tcPr>
            <w:tcW w:w="0" w:type="auto"/>
            <w:vAlign w:val="center"/>
          </w:tcPr>
          <w:p>
            <w:pPr>
              <w:pStyle w:val="87"/>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RV sequence</w:t>
            </w:r>
          </w:p>
        </w:tc>
        <w:tc>
          <w:tcPr>
            <w:tcW w:w="0" w:type="auto"/>
            <w:vAlign w:val="center"/>
          </w:tcPr>
          <w:p>
            <w:pPr>
              <w:pStyle w:val="87"/>
            </w:pPr>
            <w:r>
              <w:rPr>
                <w:lang w:val="fr-FR"/>
              </w:rPr>
              <w:t>0, 2, 3, 1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pStyle w:val="85"/>
            </w:pPr>
            <w:r>
              <w:t>DM-RS</w:t>
            </w:r>
          </w:p>
        </w:tc>
        <w:tc>
          <w:tcPr>
            <w:tcW w:w="0" w:type="auto"/>
            <w:vAlign w:val="center"/>
          </w:tcPr>
          <w:p>
            <w:pPr>
              <w:pStyle w:val="85"/>
            </w:pPr>
            <w:r>
              <w:t>DM-RS configuration type</w:t>
            </w:r>
          </w:p>
        </w:tc>
        <w:tc>
          <w:tcPr>
            <w:tcW w:w="0" w:type="auto"/>
            <w:vAlign w:val="center"/>
          </w:tcPr>
          <w:p>
            <w:pPr>
              <w:pStyle w:val="87"/>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DM-RS duration</w:t>
            </w:r>
          </w:p>
        </w:tc>
        <w:tc>
          <w:tcPr>
            <w:tcW w:w="0" w:type="auto"/>
            <w:vAlign w:val="center"/>
          </w:tcPr>
          <w:p>
            <w:pPr>
              <w:pStyle w:val="87"/>
            </w:pPr>
            <w:r>
              <w:t>single-symbol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DM-RS position (</w:t>
            </w:r>
            <w:r>
              <w:rPr>
                <w:i/>
              </w:rPr>
              <w:t>l</w:t>
            </w:r>
            <w:r>
              <w:rPr>
                <w:i/>
                <w:vertAlign w:val="subscript"/>
              </w:rPr>
              <w:t>0</w:t>
            </w:r>
            <w:r>
              <w:t>)</w:t>
            </w:r>
          </w:p>
        </w:tc>
        <w:tc>
          <w:tcPr>
            <w:tcW w:w="0" w:type="auto"/>
            <w:vAlign w:val="center"/>
          </w:tcPr>
          <w:p>
            <w:pPr>
              <w:pStyle w:val="87"/>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rPr>
                <w:rFonts w:eastAsia="等线" w:cs="Arial"/>
                <w:szCs w:val="18"/>
                <w:lang w:eastAsia="zh-CN"/>
              </w:rPr>
              <w:t>A</w:t>
            </w:r>
            <w:r>
              <w:rPr>
                <w:rFonts w:cs="Arial"/>
                <w:szCs w:val="18"/>
              </w:rPr>
              <w:t>dditional DM-RS position</w:t>
            </w:r>
          </w:p>
        </w:tc>
        <w:tc>
          <w:tcPr>
            <w:tcW w:w="0" w:type="auto"/>
            <w:vAlign w:val="center"/>
          </w:tcPr>
          <w:p>
            <w:pPr>
              <w:pStyle w:val="87"/>
            </w:pPr>
            <w:r>
              <w:rPr>
                <w:rFonts w:cs="Arial"/>
              </w:rPr>
              <w:t>pos</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Number of DM-RS CDM group(s) without data</w:t>
            </w:r>
          </w:p>
        </w:tc>
        <w:tc>
          <w:tcPr>
            <w:tcW w:w="0" w:type="auto"/>
            <w:vAlign w:val="center"/>
          </w:tcPr>
          <w:p>
            <w:pPr>
              <w:pStyle w:val="87"/>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DM-RS port(s)</w:t>
            </w:r>
          </w:p>
        </w:tc>
        <w:tc>
          <w:tcPr>
            <w:tcW w:w="0" w:type="auto"/>
            <w:vAlign w:val="center"/>
          </w:tcPr>
          <w:p>
            <w:pPr>
              <w:pStyle w:val="87"/>
            </w:pPr>
            <w:r>
              <w:t>{1000} for Rank 1 tests</w:t>
            </w:r>
            <w:r>
              <w:br w:type="textWrapping"/>
            </w:r>
            <w:r>
              <w:t>{1000-1001} for Rank 2 tests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DM-RS sequence generation</w:t>
            </w:r>
          </w:p>
        </w:tc>
        <w:tc>
          <w:tcPr>
            <w:tcW w:w="0" w:type="auto"/>
            <w:vAlign w:val="center"/>
          </w:tcPr>
          <w:p>
            <w:pPr>
              <w:pStyle w:val="87"/>
            </w:pPr>
            <w:r>
              <w:t>N</w:t>
            </w:r>
            <w:r>
              <w:rPr>
                <w:vertAlign w:val="subscript"/>
              </w:rPr>
              <w:t>ID</w:t>
            </w:r>
            <w:r>
              <w:rPr>
                <w:rFonts w:cs="Arial"/>
                <w:vertAlign w:val="superscript"/>
              </w:rPr>
              <w:t>0</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pStyle w:val="85"/>
            </w:pPr>
            <w:r>
              <w:t>Time domain resource assignment</w:t>
            </w:r>
          </w:p>
        </w:tc>
        <w:tc>
          <w:tcPr>
            <w:tcW w:w="0" w:type="auto"/>
            <w:vAlign w:val="center"/>
          </w:tcPr>
          <w:p>
            <w:pPr>
              <w:pStyle w:val="85"/>
            </w:pPr>
            <w:r>
              <w:rPr>
                <w:rFonts w:eastAsia="Batang"/>
              </w:rPr>
              <w:t>PDSCH mapping type</w:t>
            </w:r>
          </w:p>
        </w:tc>
        <w:tc>
          <w:tcPr>
            <w:tcW w:w="0" w:type="auto"/>
            <w:vAlign w:val="center"/>
          </w:tcPr>
          <w:p>
            <w:pPr>
              <w:pStyle w:val="87"/>
              <w:rPr>
                <w:lang w:eastAsia="zh-CN"/>
              </w:rPr>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Start symbol</w:t>
            </w:r>
          </w:p>
        </w:tc>
        <w:tc>
          <w:tcPr>
            <w:tcW w:w="0" w:type="auto"/>
            <w:vAlign w:val="center"/>
          </w:tcPr>
          <w:p>
            <w:pPr>
              <w:pStyle w:val="87"/>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Allocation length</w:t>
            </w:r>
          </w:p>
        </w:tc>
        <w:tc>
          <w:tcPr>
            <w:tcW w:w="0" w:type="auto"/>
            <w:vAlign w:val="center"/>
          </w:tcPr>
          <w:p>
            <w:pPr>
              <w:pStyle w:val="87"/>
              <w:rPr>
                <w:lang w:eastAsia="zh-CN"/>
              </w:rPr>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0" w:type="auto"/>
            <w:vAlign w:val="center"/>
          </w:tcPr>
          <w:p>
            <w:pPr>
              <w:pStyle w:val="85"/>
            </w:pPr>
            <w:r>
              <w:t>Frequency domain resource assignment</w:t>
            </w:r>
          </w:p>
        </w:tc>
        <w:tc>
          <w:tcPr>
            <w:tcW w:w="0" w:type="auto"/>
            <w:vAlign w:val="center"/>
          </w:tcPr>
          <w:p>
            <w:pPr>
              <w:pStyle w:val="85"/>
            </w:pPr>
            <w:r>
              <w:t>RB assignment</w:t>
            </w:r>
          </w:p>
        </w:tc>
        <w:tc>
          <w:tcPr>
            <w:tcW w:w="0" w:type="auto"/>
            <w:vAlign w:val="center"/>
          </w:tcPr>
          <w:p>
            <w:pPr>
              <w:pStyle w:val="87"/>
              <w:rPr>
                <w:lang w:eastAsia="zh-CN"/>
              </w:rPr>
            </w:pPr>
            <w:r>
              <w:t>Full applicable test bandwidth</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85"/>
              <w:rPr>
                <w:lang w:eastAsia="zh-CN"/>
              </w:rPr>
            </w:pPr>
            <w:r>
              <w:rPr>
                <w:lang w:eastAsia="zh-CN"/>
              </w:rPr>
              <w:t>PT-RS configuration</w:t>
            </w:r>
          </w:p>
        </w:tc>
        <w:tc>
          <w:tcPr>
            <w:tcW w:w="0" w:type="auto"/>
            <w:tcBorders>
              <w:top w:val="single" w:color="auto" w:sz="4" w:space="0"/>
              <w:left w:val="single" w:color="auto" w:sz="6" w:space="0"/>
              <w:bottom w:val="single" w:color="auto" w:sz="6" w:space="0"/>
              <w:right w:val="single" w:color="auto" w:sz="6" w:space="0"/>
            </w:tcBorders>
            <w:vAlign w:val="center"/>
          </w:tcPr>
          <w:p>
            <w:pPr>
              <w:pStyle w:val="85"/>
              <w:rPr>
                <w:lang w:eastAsia="zh-CN"/>
              </w:rPr>
            </w:pPr>
            <w:r>
              <w:rPr>
                <w:lang w:eastAsia="zh-CN"/>
              </w:rPr>
              <w:t>Frequency density (</w:t>
            </w:r>
            <w:r>
              <w:rPr>
                <w:i/>
                <w:lang w:eastAsia="zh-CN"/>
              </w:rPr>
              <w:t>K</w:t>
            </w:r>
            <w:r>
              <w:rPr>
                <w:i/>
                <w:vertAlign w:val="subscript"/>
                <w:lang w:eastAsia="zh-CN"/>
              </w:rPr>
              <w:t>PT-RS</w:t>
            </w:r>
            <w:r>
              <w:rPr>
                <w:lang w:eastAsia="zh-CN"/>
              </w:rPr>
              <w:t>)</w:t>
            </w:r>
          </w:p>
        </w:tc>
        <w:tc>
          <w:tcPr>
            <w:tcW w:w="0" w:type="auto"/>
            <w:tcBorders>
              <w:top w:val="single" w:color="auto" w:sz="4" w:space="0"/>
              <w:left w:val="single" w:color="auto" w:sz="6" w:space="0"/>
              <w:bottom w:val="single" w:color="auto" w:sz="6" w:space="0"/>
              <w:right w:val="single" w:color="auto" w:sz="4" w:space="0"/>
            </w:tcBorders>
            <w:vAlign w:val="center"/>
          </w:tcPr>
          <w:p>
            <w:pPr>
              <w:pStyle w:val="87"/>
              <w:rPr>
                <w:rFonts w:cs="Arial"/>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85"/>
              <w:rPr>
                <w:lang w:eastAsia="zh-CN"/>
              </w:rPr>
            </w:pPr>
          </w:p>
        </w:tc>
        <w:tc>
          <w:tcPr>
            <w:tcW w:w="0" w:type="auto"/>
            <w:tcBorders>
              <w:top w:val="single" w:color="auto" w:sz="6" w:space="0"/>
              <w:left w:val="single" w:color="auto" w:sz="6" w:space="0"/>
              <w:bottom w:val="single" w:color="auto" w:sz="4" w:space="0"/>
              <w:right w:val="single" w:color="auto" w:sz="6" w:space="0"/>
            </w:tcBorders>
            <w:vAlign w:val="center"/>
          </w:tcPr>
          <w:p>
            <w:pPr>
              <w:pStyle w:val="85"/>
              <w:rPr>
                <w:lang w:eastAsia="zh-CN"/>
              </w:rPr>
            </w:pPr>
            <w:r>
              <w:rPr>
                <w:lang w:eastAsia="zh-CN"/>
              </w:rPr>
              <w:t>Time density (</w:t>
            </w:r>
            <w:r>
              <w:rPr>
                <w:i/>
                <w:lang w:eastAsia="zh-CN"/>
              </w:rPr>
              <w:t>L</w:t>
            </w:r>
            <w:r>
              <w:rPr>
                <w:i/>
                <w:vertAlign w:val="subscript"/>
                <w:lang w:eastAsia="zh-CN"/>
              </w:rPr>
              <w:t>PT-RS</w:t>
            </w:r>
            <w:r>
              <w:rPr>
                <w:lang w:eastAsia="zh-CN"/>
              </w:rPr>
              <w:t>)</w:t>
            </w:r>
          </w:p>
        </w:tc>
        <w:tc>
          <w:tcPr>
            <w:tcW w:w="0" w:type="auto"/>
            <w:tcBorders>
              <w:top w:val="single" w:color="auto" w:sz="6" w:space="0"/>
              <w:left w:val="single" w:color="auto" w:sz="6" w:space="0"/>
              <w:bottom w:val="single" w:color="auto" w:sz="4" w:space="0"/>
              <w:right w:val="single" w:color="auto" w:sz="4" w:space="0"/>
            </w:tcBorders>
            <w:vAlign w:val="center"/>
          </w:tcPr>
          <w:p>
            <w:pPr>
              <w:pStyle w:val="87"/>
              <w:rPr>
                <w:rFonts w:cs="Arial"/>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pPr>
            <w: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pPr>
            <w:r>
              <w:rPr>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Not 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pPr>
            <w:r>
              <w:t>PDSCH &amp; PDSCH DMRS Precoding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vAlign w:val="center"/>
          </w:tcPr>
          <w:p>
            <w:pPr>
              <w:pStyle w:val="85"/>
            </w:pPr>
            <w:r>
              <w:t>Note 1</w:t>
            </w:r>
            <w:r>
              <w:rPr>
                <w:lang w:eastAsia="zh-CN"/>
              </w:rPr>
              <w:t>:</w:t>
            </w:r>
            <w:r>
              <w:tab/>
            </w:r>
            <w:r>
              <w:t>The same requirements are applicable to TDD with different UL-DL patterns.</w:t>
            </w:r>
          </w:p>
          <w:p>
            <w:pPr>
              <w:pStyle w:val="100"/>
            </w:pPr>
            <w:r>
              <w:rPr>
                <w:rFonts w:eastAsia="宋体"/>
              </w:rPr>
              <w:t>Note 2:</w:t>
            </w:r>
            <w:r>
              <w:rPr>
                <w:rFonts w:eastAsia="宋体"/>
              </w:rPr>
              <w:tab/>
            </w:r>
            <w:r>
              <w:rPr>
                <w:rFonts w:eastAsia="宋体"/>
              </w:rPr>
              <w:t>SSB, TRS, CSI-RS, and/or other unspecified test parameters with respect to TS 38.101-4 [</w:t>
            </w:r>
            <w:r>
              <w:rPr>
                <w:rFonts w:hint="eastAsia" w:eastAsia="宋体"/>
                <w:lang w:eastAsia="zh-CN"/>
              </w:rPr>
              <w:t>2</w:t>
            </w:r>
            <w:ins w:id="7" w:author="ZTE-Kun Yao" w:date="2024-08-09T17:20:05Z">
              <w:r>
                <w:rPr>
                  <w:rFonts w:hint="eastAsia" w:eastAsia="宋体"/>
                  <w:lang w:val="en-US" w:eastAsia="zh-CN"/>
                </w:rPr>
                <w:t>1</w:t>
              </w:r>
            </w:ins>
            <w:del w:id="8" w:author="ZTE-Kun Yao" w:date="2024-08-09T17:20:04Z">
              <w:r>
                <w:rPr>
                  <w:rFonts w:hint="eastAsia" w:eastAsia="宋体"/>
                  <w:lang w:eastAsia="zh-CN"/>
                </w:rPr>
                <w:delText>8</w:delText>
              </w:r>
            </w:del>
            <w:r>
              <w:rPr>
                <w:rFonts w:eastAsia="宋体"/>
              </w:rPr>
              <w:t>] are left up to test implementation, if transmitted or needed.</w:t>
            </w:r>
          </w:p>
        </w:tc>
      </w:tr>
    </w:tbl>
    <w:p>
      <w:pPr>
        <w:rPr>
          <w:lang w:eastAsia="zh-CN"/>
        </w:rPr>
      </w:pPr>
    </w:p>
    <w:p>
      <w:pPr>
        <w:tabs>
          <w:tab w:val="left" w:pos="2000"/>
        </w:tabs>
        <w:ind w:left="0" w:leftChars="0" w:firstLine="0" w:firstLineChars="0"/>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tabs>
          <w:tab w:val="left" w:pos="2000"/>
        </w:tabs>
        <w:ind w:left="0" w:leftChars="0" w:firstLine="0" w:firstLineChars="0"/>
        <w:outlineLvl w:val="9"/>
        <w:rPr>
          <w:rFonts w:cs="Arial"/>
          <w:color w:val="FF0000"/>
          <w:highlight w:val="none"/>
        </w:rPr>
      </w:pPr>
    </w:p>
    <w:p>
      <w:pPr>
        <w:rPr>
          <w:rFonts w:cs="Arial"/>
          <w:color w:val="FF0000"/>
          <w:highlight w:val="none"/>
        </w:rPr>
      </w:pPr>
      <w:r>
        <w:rPr>
          <w:rFonts w:cs="Arial"/>
          <w:color w:val="FF0000"/>
          <w:highlight w:val="none"/>
        </w:rPr>
        <w:br w:type="page"/>
      </w:r>
    </w:p>
    <w:p>
      <w:pPr>
        <w:pStyle w:val="5"/>
        <w:rPr>
          <w:lang w:val="nb-NO" w:eastAsia="zh-CN"/>
        </w:rPr>
      </w:pPr>
      <w:bookmarkStart w:id="92" w:name="_Toc82450947"/>
      <w:bookmarkStart w:id="93" w:name="_Toc82450299"/>
      <w:bookmarkStart w:id="94" w:name="_Toc106184246"/>
      <w:bookmarkStart w:id="95" w:name="_Toc130402268"/>
      <w:bookmarkStart w:id="96" w:name="_Toc145531291"/>
      <w:bookmarkStart w:id="97" w:name="_Toc76542317"/>
      <w:bookmarkStart w:id="98" w:name="_Toc161665664"/>
      <w:bookmarkStart w:id="99" w:name="_Toc138946562"/>
      <w:bookmarkStart w:id="100" w:name="_Toc89949336"/>
      <w:bookmarkStart w:id="101" w:name="_Toc137554819"/>
      <w:bookmarkStart w:id="102" w:name="_Toc169718815"/>
      <w:bookmarkStart w:id="103" w:name="_Toc138853881"/>
      <w:bookmarkStart w:id="104" w:name="_Toc74583504"/>
      <w:bookmarkStart w:id="105" w:name="_Toc98755725"/>
      <w:bookmarkStart w:id="106" w:name="_Toc98763317"/>
      <w:r>
        <w:rPr>
          <w:lang w:val="nb-NO" w:eastAsia="zh-CN"/>
        </w:rPr>
        <w:t>9.3.1.2</w:t>
      </w:r>
      <w:r>
        <w:rPr>
          <w:lang w:val="nb-NO" w:eastAsia="zh-CN"/>
        </w:rPr>
        <w:tab/>
      </w:r>
      <w:r>
        <w:rPr>
          <w:lang w:val="nb-NO" w:eastAsia="zh-CN"/>
        </w:rPr>
        <w:t>Performance requirements for PDCCH</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6"/>
        <w:rPr>
          <w:lang w:eastAsia="zh-CN"/>
        </w:rPr>
      </w:pPr>
      <w:bookmarkStart w:id="107" w:name="_Toc161665665"/>
      <w:bookmarkStart w:id="108" w:name="_Toc169718816"/>
      <w:r>
        <w:rPr>
          <w:lang w:eastAsia="zh-CN"/>
        </w:rPr>
        <w:t>9.3.1.2.1</w:t>
      </w:r>
      <w:r>
        <w:rPr>
          <w:lang w:eastAsia="zh-CN"/>
        </w:rPr>
        <w:tab/>
      </w:r>
      <w:r>
        <w:rPr>
          <w:lang w:eastAsia="zh-CN"/>
        </w:rPr>
        <w:t>General</w:t>
      </w:r>
      <w:bookmarkEnd w:id="107"/>
      <w:bookmarkEnd w:id="108"/>
    </w:p>
    <w:p>
      <w:r>
        <w:t>The receiver characteristics of the PDCCH are determined by the probability of miss-detection of the Downlink Scheduling Grant (Pm-dsg).</w:t>
      </w:r>
    </w:p>
    <w:p>
      <w:pPr>
        <w:pStyle w:val="95"/>
      </w:pPr>
      <w:r>
        <w:t>Table: 9.3.1.2.1-1 Test parameters for testing PDCCH</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3"/>
        <w:gridCol w:w="6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6"/>
            </w:pPr>
            <w:r>
              <w:t>Parameter</w:t>
            </w:r>
          </w:p>
        </w:tc>
        <w:tc>
          <w:tcPr>
            <w:tcW w:w="6657" w:type="dxa"/>
            <w:vAlign w:val="center"/>
          </w:tcPr>
          <w:p>
            <w:pPr>
              <w:pStyle w:val="86"/>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Cyclic prefix</w:t>
            </w:r>
          </w:p>
        </w:tc>
        <w:tc>
          <w:tcPr>
            <w:tcW w:w="6657" w:type="dxa"/>
            <w:vAlign w:val="center"/>
          </w:tcPr>
          <w:p>
            <w:pPr>
              <w:pStyle w:val="87"/>
            </w:pPr>
            <w:r>
              <w:rPr>
                <w:rFonts w:hint="eastAsia"/>
              </w:rPr>
              <w:t>N</w:t>
            </w:r>
            <w:r>
              <w:t>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Default TDD UL-DL pattern (Note 1)</w:t>
            </w:r>
          </w:p>
        </w:tc>
        <w:tc>
          <w:tcPr>
            <w:tcW w:w="6657" w:type="dxa"/>
            <w:vAlign w:val="center"/>
          </w:tcPr>
          <w:p>
            <w:pPr>
              <w:pStyle w:val="87"/>
            </w:pPr>
            <w:r>
              <w:t>3D1S1U, S=10D:2G:2U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DM-RS sequence generation</w:t>
            </w:r>
          </w:p>
        </w:tc>
        <w:tc>
          <w:tcPr>
            <w:tcW w:w="6657" w:type="dxa"/>
            <w:vAlign w:val="center"/>
          </w:tcPr>
          <w:p>
            <w:pPr>
              <w:pStyle w:val="87"/>
            </w:pPr>
            <w:r>
              <w:t>NID=0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Frequency domain resource allocation for CORESET</w:t>
            </w:r>
          </w:p>
        </w:tc>
        <w:tc>
          <w:tcPr>
            <w:tcW w:w="6657" w:type="dxa"/>
            <w:vAlign w:val="center"/>
          </w:tcPr>
          <w:p>
            <w:pPr>
              <w:pStyle w:val="87"/>
            </w:pPr>
            <w:r>
              <w:t>Start from RB = 0 with contiguous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CCE to REG mapping type</w:t>
            </w:r>
          </w:p>
        </w:tc>
        <w:tc>
          <w:tcPr>
            <w:tcW w:w="6657" w:type="dxa"/>
            <w:vAlign w:val="center"/>
          </w:tcPr>
          <w:p>
            <w:pPr>
              <w:pStyle w:val="87"/>
            </w:pPr>
            <w:r>
              <w:t>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Interleaver size</w:t>
            </w:r>
          </w:p>
        </w:tc>
        <w:tc>
          <w:tcPr>
            <w:tcW w:w="6657" w:type="dxa"/>
            <w:vAlign w:val="center"/>
          </w:tcPr>
          <w:p>
            <w:pPr>
              <w:pStyle w:val="87"/>
            </w:pPr>
            <w:r>
              <w:t>2 for test with Aggregation level 4</w:t>
            </w:r>
            <w:r>
              <w:br w:type="textWrapping"/>
            </w:r>
            <w:r>
              <w:t>3 for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REG bundle size</w:t>
            </w:r>
          </w:p>
        </w:tc>
        <w:tc>
          <w:tcPr>
            <w:tcW w:w="6657" w:type="dxa"/>
            <w:vAlign w:val="center"/>
          </w:tcPr>
          <w:p>
            <w:pPr>
              <w:pStyle w:val="87"/>
            </w:pPr>
            <w:r>
              <w:t>6 for test with Aggregation level 4</w:t>
            </w:r>
            <w:r>
              <w:br w:type="textWrapping"/>
            </w:r>
            <w:r>
              <w:t>2 for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rPr>
                <w:rFonts w:cs="Arial"/>
                <w:lang w:eastAsia="zh-CN"/>
              </w:rPr>
              <w:t>Shift Index</w:t>
            </w:r>
          </w:p>
        </w:tc>
        <w:tc>
          <w:tcPr>
            <w:tcW w:w="6657" w:type="dxa"/>
            <w:vAlign w:val="center"/>
          </w:tcPr>
          <w:p>
            <w:pPr>
              <w:pStyle w:val="87"/>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rPr>
                <w:rFonts w:cs="Arial"/>
                <w:lang w:eastAsia="zh-CN"/>
              </w:rPr>
            </w:pPr>
            <w:r>
              <w:t>Slots for PDCCH monitoring</w:t>
            </w:r>
          </w:p>
        </w:tc>
        <w:tc>
          <w:tcPr>
            <w:tcW w:w="6657" w:type="dxa"/>
            <w:vAlign w:val="center"/>
          </w:tcPr>
          <w:p>
            <w:pPr>
              <w:pStyle w:val="87"/>
            </w:pPr>
            <w:r>
              <w:rPr>
                <w:rFonts w:hint="eastAsia"/>
              </w:rPr>
              <w:t>E</w:t>
            </w:r>
            <w:r>
              <w:t>ach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rPr>
                <w:rFonts w:cs="Arial"/>
                <w:lang w:eastAsia="zh-CN"/>
              </w:rPr>
            </w:pPr>
            <w:r>
              <w:t xml:space="preserve">Number of PDCCH candidates for the tested </w:t>
            </w:r>
            <w:r>
              <w:rPr>
                <w:szCs w:val="18"/>
                <w:lang w:val="fr-FR"/>
              </w:rPr>
              <w:t>aggregation level</w:t>
            </w:r>
          </w:p>
        </w:tc>
        <w:tc>
          <w:tcPr>
            <w:tcW w:w="6657" w:type="dxa"/>
            <w:vAlign w:val="center"/>
          </w:tcPr>
          <w:p>
            <w:pPr>
              <w:pStyle w:val="87"/>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rPr>
                <w:rFonts w:cs="Arial"/>
                <w:lang w:eastAsia="zh-CN"/>
              </w:rPr>
            </w:pPr>
            <w:r>
              <w:t>PDCCH Precoding configuration</w:t>
            </w:r>
          </w:p>
        </w:tc>
        <w:tc>
          <w:tcPr>
            <w:tcW w:w="6657" w:type="dxa"/>
            <w:vAlign w:val="center"/>
          </w:tcPr>
          <w:p>
            <w:pPr>
              <w:pStyle w:val="87"/>
            </w:pPr>
            <w:r>
              <w:t>Single Panel Type I, Random precoder selection updated per slot, with equal probability of each applicable i1, i2 combination with REG bundling granularity for number of Tx larger than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pStyle w:val="85"/>
            </w:pPr>
            <w:r>
              <w:t>Note 1</w:t>
            </w:r>
            <w:r>
              <w:rPr>
                <w:lang w:eastAsia="zh-CN"/>
              </w:rPr>
              <w:t>:</w:t>
            </w:r>
            <w:r>
              <w:tab/>
            </w:r>
            <w:r>
              <w:t>The same requirements are applicable to TDD with different UL-DL patterns.</w:t>
            </w:r>
          </w:p>
          <w:p>
            <w:pPr>
              <w:pStyle w:val="100"/>
            </w:pPr>
            <w:r>
              <w:rPr>
                <w:rFonts w:eastAsia="宋体"/>
              </w:rPr>
              <w:t>Note 2:</w:t>
            </w:r>
            <w:r>
              <w:rPr>
                <w:rFonts w:eastAsia="宋体"/>
              </w:rPr>
              <w:tab/>
            </w:r>
            <w:r>
              <w:rPr>
                <w:rFonts w:eastAsia="宋体"/>
              </w:rPr>
              <w:t>SSB, TRS, CSI-RS, and/or other unspecified test parameters with respect to TS 38.101-4 [</w:t>
            </w:r>
            <w:r>
              <w:rPr>
                <w:rFonts w:hint="eastAsia" w:eastAsia="宋体"/>
                <w:lang w:eastAsia="zh-CN"/>
              </w:rPr>
              <w:t>2</w:t>
            </w:r>
            <w:ins w:id="9" w:author="ZTE-Kun Yao" w:date="2024-08-09T17:20:48Z">
              <w:r>
                <w:rPr>
                  <w:rFonts w:hint="eastAsia" w:eastAsia="宋体"/>
                  <w:lang w:val="en-US" w:eastAsia="zh-CN"/>
                </w:rPr>
                <w:t>1</w:t>
              </w:r>
            </w:ins>
            <w:del w:id="10" w:author="ZTE-Kun Yao" w:date="2024-08-09T17:20:47Z">
              <w:r>
                <w:rPr>
                  <w:rFonts w:hint="eastAsia" w:eastAsia="宋体"/>
                  <w:lang w:eastAsia="zh-CN"/>
                </w:rPr>
                <w:delText>8</w:delText>
              </w:r>
            </w:del>
            <w:r>
              <w:rPr>
                <w:rFonts w:eastAsia="宋体"/>
              </w:rPr>
              <w:t>] are left up to test implementation, if transmitted or needed</w:t>
            </w:r>
          </w:p>
        </w:tc>
      </w:tr>
    </w:tbl>
    <w:p>
      <w:pPr>
        <w:rPr>
          <w:lang w:eastAsia="zh-CN"/>
        </w:rPr>
      </w:pPr>
    </w:p>
    <w:p>
      <w:pPr>
        <w:rPr>
          <w:rFonts w:cs="Arial"/>
          <w:color w:val="FF0000"/>
          <w:highlight w:val="none"/>
        </w:rPr>
      </w:pPr>
      <w:r>
        <w:rPr>
          <w:rFonts w:cs="Arial"/>
          <w:color w:val="FF0000"/>
          <w:highlight w:val="none"/>
        </w:rPr>
        <w:br w:type="page"/>
      </w:r>
    </w:p>
    <w:p>
      <w:pPr>
        <w:pStyle w:val="5"/>
        <w:tabs>
          <w:tab w:val="left" w:pos="2000"/>
        </w:tabs>
        <w:rPr>
          <w:ins w:id="11" w:author="ZTE-Kun Yao" w:date="2024-08-09T17:21:13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rPr>
          <w:ins w:id="12" w:author="ZTE-Kun Yao" w:date="2024-08-09T17:21:13Z"/>
          <w:rFonts w:cs="Arial"/>
          <w:color w:val="FF0000"/>
          <w:highlight w:val="none"/>
        </w:rPr>
      </w:pPr>
    </w:p>
    <w:p>
      <w:pPr>
        <w:pStyle w:val="5"/>
        <w:ind w:left="1701"/>
        <w:rPr>
          <w:lang w:val="en-US" w:eastAsia="zh-CN"/>
        </w:rPr>
      </w:pPr>
      <w:bookmarkStart w:id="109" w:name="_Toc130402276"/>
      <w:bookmarkStart w:id="110" w:name="_Toc74583512"/>
      <w:bookmarkStart w:id="111" w:name="_Toc98755733"/>
      <w:bookmarkStart w:id="112" w:name="_Toc82450307"/>
      <w:bookmarkStart w:id="113" w:name="_Toc145531299"/>
      <w:bookmarkStart w:id="114" w:name="_Toc106184254"/>
      <w:bookmarkStart w:id="115" w:name="_Toc82450955"/>
      <w:bookmarkStart w:id="116" w:name="_Toc137554827"/>
      <w:bookmarkStart w:id="117" w:name="_Toc138853889"/>
      <w:bookmarkStart w:id="118" w:name="_Toc169718822"/>
      <w:bookmarkStart w:id="119" w:name="_Toc161665671"/>
      <w:bookmarkStart w:id="120" w:name="_Toc89949344"/>
      <w:bookmarkStart w:id="121" w:name="_Toc76542325"/>
      <w:bookmarkStart w:id="122" w:name="_Toc138946570"/>
      <w:bookmarkStart w:id="123" w:name="_Toc98763325"/>
      <w:r>
        <w:rPr>
          <w:lang w:val="en-US" w:eastAsia="zh-CN"/>
        </w:rPr>
        <w:t>9.4.1.3</w:t>
      </w:r>
      <w:r>
        <w:rPr>
          <w:lang w:val="en-US" w:eastAsia="zh-CN"/>
        </w:rPr>
        <w:tab/>
      </w:r>
      <w:r>
        <w:rPr>
          <w:lang w:val="en-US" w:eastAsia="zh-CN"/>
        </w:rPr>
        <w:t>Reporting of Channel Quality Indicator (CQI)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pPr>
        <w:pStyle w:val="6"/>
        <w:ind w:left="1985"/>
        <w:rPr>
          <w:rFonts w:eastAsia="宋体"/>
          <w:lang w:val="en-US"/>
        </w:rPr>
      </w:pPr>
      <w:bookmarkStart w:id="124" w:name="_Toc161665672"/>
      <w:bookmarkStart w:id="125" w:name="_Toc169718823"/>
      <w:r>
        <w:rPr>
          <w:lang w:val="en-US"/>
        </w:rPr>
        <w:t>9.4.1.3.1</w:t>
      </w:r>
      <w:r>
        <w:rPr>
          <w:lang w:val="en-US"/>
        </w:rPr>
        <w:tab/>
      </w:r>
      <w:r>
        <w:rPr>
          <w:lang w:val="en-US"/>
        </w:rPr>
        <w:t>General</w:t>
      </w:r>
      <w:bookmarkEnd w:id="124"/>
      <w:bookmarkEnd w:id="125"/>
    </w:p>
    <w:p>
      <w:pPr>
        <w:rPr>
          <w:rFonts w:eastAsia="宋体"/>
          <w:lang w:val="en-US"/>
        </w:rPr>
      </w:pPr>
      <w:r>
        <w:rPr>
          <w:rFonts w:eastAsia="宋体"/>
          <w:lang w:val="en-US"/>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p>
    <w:p>
      <w:pPr>
        <w:keepNext/>
        <w:keepLines/>
        <w:spacing w:before="60"/>
        <w:jc w:val="center"/>
        <w:rPr>
          <w:rFonts w:ascii="Arial" w:hAnsi="Arial" w:eastAsia="宋体"/>
          <w:b/>
          <w:lang w:val="en-US" w:eastAsia="zh-CN"/>
        </w:rPr>
      </w:pPr>
      <w:r>
        <w:rPr>
          <w:rFonts w:ascii="Arial" w:hAnsi="Arial"/>
          <w:b/>
          <w:lang w:val="en-US"/>
        </w:rPr>
        <w:t>Table 9.4.1.3.1-1: Test parameters</w:t>
      </w:r>
    </w:p>
    <w:tbl>
      <w:tblPr>
        <w:tblStyle w:val="62"/>
        <w:tblW w:w="6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71"/>
        <w:gridCol w:w="2653"/>
        <w:gridCol w:w="740"/>
        <w:gridCol w:w="507"/>
        <w:gridCol w:w="567"/>
        <w:gridCol w:w="42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6"/>
              <w:rPr>
                <w:lang w:val="en-US"/>
              </w:rPr>
            </w:pPr>
            <w:r>
              <w:rPr>
                <w:rFonts w:eastAsia="宋体"/>
                <w:lang w:val="en-US"/>
              </w:rPr>
              <w:t>Parameter</w:t>
            </w:r>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lang w:val="en-US"/>
              </w:rPr>
            </w:pPr>
            <w:r>
              <w:rPr>
                <w:rFonts w:eastAsia="宋体"/>
                <w:lang w:val="en-US"/>
              </w:rPr>
              <w:t>Unit</w:t>
            </w:r>
          </w:p>
        </w:tc>
        <w:tc>
          <w:tcPr>
            <w:tcW w:w="1074" w:type="dxa"/>
            <w:gridSpan w:val="2"/>
            <w:tcBorders>
              <w:top w:val="single" w:color="auto" w:sz="4" w:space="0"/>
              <w:left w:val="single" w:color="auto" w:sz="4" w:space="0"/>
              <w:bottom w:val="single" w:color="auto" w:sz="4" w:space="0"/>
              <w:right w:val="single" w:color="auto" w:sz="4" w:space="0"/>
            </w:tcBorders>
            <w:vAlign w:val="center"/>
          </w:tcPr>
          <w:p>
            <w:pPr>
              <w:pStyle w:val="86"/>
              <w:rPr>
                <w:lang w:val="en-US"/>
              </w:rPr>
            </w:pPr>
            <w:r>
              <w:rPr>
                <w:rFonts w:eastAsia="宋体"/>
                <w:lang w:val="en-US"/>
              </w:rPr>
              <w:t>Test 1</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pStyle w:val="86"/>
              <w:rPr>
                <w:lang w:val="en-US"/>
              </w:rPr>
            </w:pPr>
            <w:r>
              <w:rPr>
                <w:rFonts w:hint="eastAsia"/>
                <w:lang w:val="en-US" w:eastAsia="zh-CN"/>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Bandwidth</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lang w:val="en-US"/>
              </w:rPr>
              <w:t>MHz</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Subcarrier spacing</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rPr>
            </w:pPr>
            <w:r>
              <w:rPr>
                <w:rFonts w:eastAsia="宋体"/>
                <w:lang w:val="en-US"/>
              </w:rPr>
              <w:t>kHz</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Duplex Mode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85"/>
              <w:rPr>
                <w:rFonts w:eastAsia="宋体"/>
                <w:lang w:val="en-US"/>
              </w:rPr>
            </w:pPr>
            <w:r>
              <w:rPr>
                <w:rFonts w:eastAsia="宋体"/>
                <w:lang w:val="en-US"/>
              </w:rPr>
              <w:t>Default TDD UL-DL pattern (Note 1)</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87"/>
              <w:rPr>
                <w:lang w:val="en-US"/>
              </w:rPr>
            </w:pPr>
            <w:r>
              <w:rPr>
                <w:lang w:val="en-US"/>
              </w:rPr>
              <w:t>3D1S1U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85"/>
              <w:rPr>
                <w:rFonts w:eastAsia="宋体"/>
                <w:lang w:val="en-US"/>
              </w:rPr>
            </w:pPr>
            <w:r>
              <w:rPr>
                <w:rFonts w:eastAsia="宋体"/>
                <w:lang w:val="en-US"/>
              </w:rPr>
              <w:t>Special Slot Configuration</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87"/>
              <w:rPr>
                <w:lang w:val="en-US"/>
              </w:rPr>
            </w:pPr>
            <w:r>
              <w:rPr>
                <w:lang w:val="en-US"/>
              </w:rPr>
              <w:t>10D+2G+2U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 ??"/>
                <w:lang w:val="en-US"/>
              </w:rPr>
            </w:pPr>
            <w:r>
              <w:rPr>
                <w:rFonts w:eastAsia="?? ??"/>
                <w:lang w:val="en-US"/>
              </w:rPr>
              <w:t>SNR</w:t>
            </w:r>
            <w:r>
              <w:rPr>
                <w:rFonts w:eastAsia="?? ??"/>
                <w:vertAlign w:val="subscript"/>
                <w:lang w:val="en-US"/>
              </w:rPr>
              <w:t>BB</w:t>
            </w:r>
            <w:r>
              <w:rPr>
                <w:rFonts w:eastAsia="?? ??"/>
                <w:lang w:val="en-US"/>
              </w:rPr>
              <w:t xml:space="preserve"> </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lang w:val="en-US"/>
              </w:rPr>
              <w:t xml:space="preserve"> dB</w:t>
            </w:r>
          </w:p>
        </w:tc>
        <w:tc>
          <w:tcPr>
            <w:tcW w:w="50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8</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9</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14</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Propagation channel</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Antenna configuration</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lang w:val="en-US"/>
              </w:rPr>
              <w:t xml:space="preserve">2×2 with static channel specified in Annex </w:t>
            </w:r>
            <w:r>
              <w:t>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Beamforming Model</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 xml:space="preserve">As specified in </w:t>
            </w:r>
            <w:r>
              <w:rPr>
                <w:rFonts w:hint="eastAsia"/>
                <w:lang w:val="en-US" w:eastAsia="zh-CN"/>
              </w:rPr>
              <w:t xml:space="preserve">Annex </w:t>
            </w:r>
            <w:r>
              <w:rPr>
                <w:lang w:eastAsia="zh-CN"/>
              </w:rPr>
              <w:t>I.3.1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restart"/>
            <w:tcBorders>
              <w:top w:val="single" w:color="auto" w:sz="4" w:space="0"/>
              <w:left w:val="single" w:color="auto" w:sz="4" w:space="0"/>
              <w:right w:val="single" w:color="auto" w:sz="4" w:space="0"/>
            </w:tcBorders>
            <w:vAlign w:val="center"/>
          </w:tcPr>
          <w:p>
            <w:pPr>
              <w:pStyle w:val="85"/>
              <w:rPr>
                <w:rFonts w:eastAsia="宋体"/>
                <w:lang w:val="en-US"/>
              </w:rPr>
            </w:pPr>
            <w:r>
              <w:rPr>
                <w:rFonts w:eastAsia="宋体"/>
                <w:lang w:val="en-US"/>
              </w:rPr>
              <w:t>NZP CSI-RS for CSI acquisition</w:t>
            </w:r>
          </w:p>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CSI-RS resource</w:t>
            </w:r>
            <w:r>
              <w:rPr>
                <w:rFonts w:hint="eastAsia" w:eastAsia="宋体"/>
                <w:lang w:val="en-US"/>
              </w:rPr>
              <w:t xml:space="preserve"> </w:t>
            </w:r>
            <w:r>
              <w:rPr>
                <w:rFonts w:eastAsia="宋体"/>
                <w:lang w:val="en-US"/>
              </w:rPr>
              <w:t>Type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right w:val="single" w:color="auto" w:sz="4" w:space="0"/>
            </w:tcBorders>
            <w:vAlign w:val="center"/>
          </w:tcPr>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Number of CSI-RS ports (</w:t>
            </w:r>
            <w:r>
              <w:rPr>
                <w:rFonts w:eastAsia="宋体"/>
                <w:i/>
                <w:lang w:val="en-US"/>
              </w:rPr>
              <w:t>X</w:t>
            </w:r>
            <w:r>
              <w:rPr>
                <w:rFonts w:eastAsia="宋体"/>
                <w:lang w:val="en-US"/>
              </w:rPr>
              <w:t>)</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rPr>
            </w:pPr>
            <w:r>
              <w:rPr>
                <w:rFonts w:hint="eastAsia" w:eastAsia="宋体"/>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right w:val="single" w:color="auto" w:sz="4" w:space="0"/>
            </w:tcBorders>
            <w:vAlign w:val="center"/>
          </w:tcPr>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CDM Type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fd-CDM2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right w:val="single" w:color="auto" w:sz="4" w:space="0"/>
            </w:tcBorders>
            <w:vAlign w:val="center"/>
          </w:tcPr>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Density (ρ)</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right w:val="single" w:color="auto" w:sz="4" w:space="0"/>
            </w:tcBorders>
            <w:vAlign w:val="center"/>
          </w:tcPr>
          <w:p>
            <w:pPr>
              <w:pStyle w:val="85"/>
              <w:rPr>
                <w:b/>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First subcarrier index in the PRB used for CSI-RS (k</w:t>
            </w:r>
            <w:r>
              <w:rPr>
                <w:rFonts w:eastAsia="宋体"/>
                <w:vertAlign w:val="subscript"/>
                <w:lang w:val="en-US"/>
              </w:rPr>
              <w:t>0</w:t>
            </w:r>
            <w:r>
              <w:rPr>
                <w:rFonts w:eastAsia="宋体"/>
                <w:lang w:val="en-US"/>
              </w:rPr>
              <w:t>, k</w:t>
            </w:r>
            <w:r>
              <w:rPr>
                <w:rFonts w:eastAsia="宋体"/>
                <w:vertAlign w:val="subscript"/>
                <w:lang w:val="en-US"/>
              </w:rPr>
              <w:t>1</w:t>
            </w:r>
            <w:r>
              <w:rPr>
                <w:rFonts w:eastAsia="宋体"/>
                <w:lang w:val="en-US"/>
              </w:rPr>
              <w:t xml:space="preserve"> )</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right w:val="single" w:color="auto" w:sz="4" w:space="0"/>
            </w:tcBorders>
            <w:vAlign w:val="center"/>
          </w:tcPr>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First OFDM symbol in the PRB used for CSI-RS (l</w:t>
            </w:r>
            <w:r>
              <w:rPr>
                <w:rFonts w:eastAsia="宋体"/>
                <w:vertAlign w:val="subscript"/>
                <w:lang w:val="en-US"/>
              </w:rPr>
              <w:t>0</w:t>
            </w:r>
            <w:r>
              <w:rPr>
                <w:rFonts w:eastAsia="宋体"/>
                <w:lang w:val="en-US"/>
              </w:rPr>
              <w:t>, l</w:t>
            </w:r>
            <w:r>
              <w:rPr>
                <w:rFonts w:eastAsia="宋体"/>
                <w:vertAlign w:val="subscript"/>
                <w:lang w:val="en-US"/>
              </w:rPr>
              <w:t>1</w:t>
            </w:r>
            <w:r>
              <w:rPr>
                <w:rFonts w:eastAsia="宋体"/>
                <w:lang w:val="en-US"/>
              </w:rPr>
              <w:t>)</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bottom w:val="single" w:color="auto" w:sz="4" w:space="0"/>
              <w:right w:val="single" w:color="auto" w:sz="4" w:space="0"/>
            </w:tcBorders>
            <w:vAlign w:val="center"/>
          </w:tcPr>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NZP CSI-RS-timeConfig</w:t>
            </w:r>
          </w:p>
          <w:p>
            <w:pPr>
              <w:pStyle w:val="85"/>
              <w:rPr>
                <w:rFonts w:eastAsia="宋体"/>
                <w:lang w:val="en-US"/>
              </w:rPr>
            </w:pPr>
            <w:r>
              <w:rPr>
                <w:rFonts w:eastAsia="宋体"/>
                <w:lang w:val="en-US"/>
              </w:rPr>
              <w:t>periodicity and offset</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slot</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ReportConfigType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CQI-table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reportQuantity</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cqi-FormatIndicator</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pmi-FormatIndicator</w:t>
            </w:r>
            <w:r>
              <w:rPr>
                <w:rFonts w:eastAsia="宋体"/>
                <w:i/>
                <w:lang w:val="en-US"/>
              </w:rPr>
              <w:t xml:space="preserve">  </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Sub-band Size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lang w:val="en-US"/>
              </w:rPr>
              <w:t>RB</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csi-ReportingBand</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lang w:val="en-US"/>
              </w:rPr>
              <w:t>111111111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CSI-Report periodicity and offset</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slot</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65" w:type="dxa"/>
            <w:gridSpan w:val="2"/>
            <w:vMerge w:val="restart"/>
            <w:tcBorders>
              <w:top w:val="single" w:color="auto" w:sz="4" w:space="0"/>
              <w:left w:val="single" w:color="auto" w:sz="4" w:space="0"/>
              <w:right w:val="single" w:color="auto" w:sz="4" w:space="0"/>
            </w:tcBorders>
            <w:vAlign w:val="center"/>
          </w:tcPr>
          <w:p>
            <w:pPr>
              <w:pStyle w:val="85"/>
              <w:rPr>
                <w:lang w:val="en-US"/>
              </w:rPr>
            </w:pPr>
            <w:r>
              <w:rPr>
                <w:rFonts w:eastAsia="宋体"/>
                <w:lang w:val="en-US"/>
              </w:rPr>
              <w:t>Codebook configuration</w:t>
            </w:r>
          </w:p>
        </w:tc>
        <w:tc>
          <w:tcPr>
            <w:tcW w:w="2653"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lang w:val="en-US"/>
              </w:rPr>
              <w:t>Codebook Type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typeI-SinglePanel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65" w:type="dxa"/>
            <w:gridSpan w:val="2"/>
            <w:vMerge w:val="continue"/>
            <w:tcBorders>
              <w:left w:val="single" w:color="auto" w:sz="4" w:space="0"/>
              <w:right w:val="single" w:color="auto" w:sz="4" w:space="0"/>
            </w:tcBorders>
          </w:tcPr>
          <w:p>
            <w:pPr>
              <w:pStyle w:val="85"/>
              <w:rPr>
                <w:lang w:val="en-US"/>
              </w:rPr>
            </w:pPr>
          </w:p>
        </w:tc>
        <w:tc>
          <w:tcPr>
            <w:tcW w:w="2653"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lang w:val="en-US"/>
              </w:rPr>
              <w:t>Codebook Mode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65" w:type="dxa"/>
            <w:gridSpan w:val="2"/>
            <w:vMerge w:val="continue"/>
            <w:tcBorders>
              <w:left w:val="single" w:color="auto" w:sz="4" w:space="0"/>
              <w:right w:val="single" w:color="auto" w:sz="4" w:space="0"/>
            </w:tcBorders>
          </w:tcPr>
          <w:p>
            <w:pPr>
              <w:pStyle w:val="85"/>
              <w:rPr>
                <w:lang w:val="en-US"/>
              </w:rPr>
            </w:pPr>
          </w:p>
        </w:tc>
        <w:tc>
          <w:tcPr>
            <w:tcW w:w="2653"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lang w:val="en-US"/>
              </w:rPr>
              <w:t>(CodebookConfig-N1,CodebookConfig-N2)</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65" w:type="dxa"/>
            <w:gridSpan w:val="2"/>
            <w:vMerge w:val="continue"/>
            <w:tcBorders>
              <w:left w:val="single" w:color="auto" w:sz="4" w:space="0"/>
              <w:right w:val="single" w:color="auto" w:sz="4" w:space="0"/>
            </w:tcBorders>
          </w:tcPr>
          <w:p>
            <w:pPr>
              <w:pStyle w:val="85"/>
              <w:rPr>
                <w:lang w:val="en-US"/>
              </w:rPr>
            </w:pPr>
          </w:p>
        </w:tc>
        <w:tc>
          <w:tcPr>
            <w:tcW w:w="2653"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lang w:val="en-US"/>
              </w:rPr>
              <w:t>CodebookSubsetRestriction</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65" w:type="dxa"/>
            <w:gridSpan w:val="2"/>
            <w:vMerge w:val="continue"/>
            <w:tcBorders>
              <w:left w:val="single" w:color="auto" w:sz="4" w:space="0"/>
              <w:bottom w:val="single" w:color="auto" w:sz="4" w:space="0"/>
              <w:right w:val="single" w:color="auto" w:sz="4" w:space="0"/>
            </w:tcBorders>
          </w:tcPr>
          <w:p>
            <w:pPr>
              <w:pStyle w:val="85"/>
              <w:rPr>
                <w:lang w:val="en-US"/>
              </w:rPr>
            </w:pPr>
          </w:p>
        </w:tc>
        <w:tc>
          <w:tcPr>
            <w:tcW w:w="2653" w:type="dxa"/>
            <w:tcBorders>
              <w:top w:val="single" w:color="auto" w:sz="4" w:space="0"/>
              <w:left w:val="single" w:color="auto" w:sz="4" w:space="0"/>
              <w:bottom w:val="single" w:color="auto" w:sz="4" w:space="0"/>
              <w:right w:val="single" w:color="auto" w:sz="4" w:space="0"/>
            </w:tcBorders>
          </w:tcPr>
          <w:p>
            <w:pPr>
              <w:pStyle w:val="85"/>
              <w:rPr>
                <w:rFonts w:eastAsia="宋体"/>
                <w:lang w:val="en-US"/>
              </w:rPr>
            </w:pPr>
            <w:r>
              <w:rPr>
                <w:rFonts w:eastAsia="宋体"/>
                <w:lang w:val="en-US"/>
              </w:rPr>
              <w:t>RI Restriction</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left w:val="single" w:color="auto" w:sz="4" w:space="0"/>
              <w:bottom w:val="single" w:color="auto" w:sz="4" w:space="0"/>
              <w:right w:val="single" w:color="auto" w:sz="4" w:space="0"/>
            </w:tcBorders>
            <w:vAlign w:val="center"/>
          </w:tcPr>
          <w:p>
            <w:pPr>
              <w:pStyle w:val="85"/>
              <w:rPr>
                <w:rFonts w:eastAsia="宋体"/>
                <w:lang w:val="en-US"/>
              </w:rPr>
            </w:pPr>
            <w:r>
              <w:rPr>
                <w:rFonts w:eastAsia="宋体"/>
              </w:rPr>
              <w:t>CQI/RI/PMI delay</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rPr>
            </w:pPr>
            <w:r>
              <w:rPr>
                <w:rFonts w:eastAsia="宋体"/>
              </w:rPr>
              <w:t>ms</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lang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Maximum number of HARQ transmission</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Measurement channel</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eastAsia="ko-KR"/>
              </w:rPr>
              <w:t>M-FR2-NCR.1.3-1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6866" w:type="dxa"/>
            <w:gridSpan w:val="8"/>
            <w:tcBorders>
              <w:top w:val="single" w:color="auto" w:sz="4" w:space="0"/>
              <w:left w:val="single" w:color="auto" w:sz="4" w:space="0"/>
              <w:bottom w:val="single" w:color="auto" w:sz="4" w:space="0"/>
              <w:right w:val="single" w:color="auto" w:sz="4" w:space="0"/>
            </w:tcBorders>
            <w:vAlign w:val="center"/>
          </w:tcPr>
          <w:p>
            <w:pPr>
              <w:pStyle w:val="100"/>
              <w:rPr>
                <w:lang w:val="en-US"/>
              </w:rPr>
            </w:pPr>
            <w:r>
              <w:rPr>
                <w:lang w:val="en-US"/>
              </w:rPr>
              <w:t>Note 1:</w:t>
            </w:r>
            <w:r>
              <w:rPr>
                <w:lang w:val="en-US"/>
              </w:rPr>
              <w:tab/>
            </w:r>
            <w:r>
              <w:rPr>
                <w:lang w:val="en-US"/>
              </w:rPr>
              <w:t>The same requirements are applicable to with different UL-DL patterns.</w:t>
            </w:r>
          </w:p>
          <w:p>
            <w:pPr>
              <w:pStyle w:val="100"/>
            </w:pPr>
            <w:r>
              <w:rPr>
                <w:lang w:val="en-US"/>
              </w:rPr>
              <w:t xml:space="preserve">Note </w:t>
            </w:r>
            <w:r>
              <w:t>2</w:t>
            </w:r>
            <w:r>
              <w:rPr>
                <w:lang w:val="en-US"/>
              </w:rPr>
              <w:t>:</w:t>
            </w:r>
            <w:r>
              <w:rPr>
                <w:lang w:val="en-US"/>
              </w:rPr>
              <w:tab/>
            </w:r>
            <w:r>
              <w:t xml:space="preserve">SSB, TRS, CSI-RS, and/or other unspecified test parameters with respect to TS 38.101-4 </w:t>
            </w:r>
            <w:r>
              <w:rPr>
                <w:lang w:val="en-US"/>
              </w:rPr>
              <w:t>[</w:t>
            </w:r>
            <w:r>
              <w:rPr>
                <w:rFonts w:hint="eastAsia" w:eastAsia="宋体"/>
                <w:lang w:eastAsia="zh-CN"/>
              </w:rPr>
              <w:t>2</w:t>
            </w:r>
            <w:ins w:id="13" w:author="ZTE-Kun Yao" w:date="2024-08-09T17:21:23Z">
              <w:r>
                <w:rPr>
                  <w:rFonts w:hint="eastAsia" w:eastAsia="宋体"/>
                  <w:lang w:val="en-US" w:eastAsia="zh-CN"/>
                </w:rPr>
                <w:t>1</w:t>
              </w:r>
            </w:ins>
            <w:del w:id="14" w:author="ZTE-Kun Yao" w:date="2024-08-09T17:21:22Z">
              <w:r>
                <w:rPr>
                  <w:rFonts w:hint="eastAsia" w:eastAsia="宋体"/>
                  <w:lang w:eastAsia="zh-CN"/>
                </w:rPr>
                <w:delText>8</w:delText>
              </w:r>
            </w:del>
            <w:r>
              <w:rPr>
                <w:lang w:val="en-US"/>
              </w:rPr>
              <w:t xml:space="preserve">] </w:t>
            </w:r>
            <w:r>
              <w:t>are left up to test implementation, if transmitted or needed.</w:t>
            </w:r>
          </w:p>
          <w:p>
            <w:pPr>
              <w:pStyle w:val="100"/>
            </w:pPr>
            <w:r>
              <w:t>Note 3:</w:t>
            </w:r>
            <w:r>
              <w:tab/>
            </w:r>
            <w:r>
              <w:t>If the NCR-MT reports in an available uplink reporting instance at slot #n based on CQI estimation at a downlink slot not later than slot#(n-4), this reported CQI cannot be applied at the gNB downlink before slot#(n+4).</w:t>
            </w:r>
          </w:p>
        </w:tc>
      </w:tr>
    </w:tbl>
    <w:p>
      <w:pPr>
        <w:rPr>
          <w:rFonts w:eastAsia="宋体"/>
          <w:lang w:val="en-US"/>
        </w:rPr>
      </w:pPr>
    </w:p>
    <w:p>
      <w:pPr>
        <w:tabs>
          <w:tab w:val="left" w:pos="2000"/>
        </w:tabs>
        <w:ind w:left="0" w:leftChars="0" w:firstLine="0" w:firstLineChars="0"/>
        <w:outlineLvl w:val="9"/>
        <w:rPr>
          <w:rFonts w:cs="Arial"/>
          <w:color w:val="FF0000"/>
          <w:highlight w:val="none"/>
        </w:rPr>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 ??">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82541B"/>
    <w:rsid w:val="06937D6A"/>
    <w:rsid w:val="06BB464A"/>
    <w:rsid w:val="0745434B"/>
    <w:rsid w:val="07B834C1"/>
    <w:rsid w:val="07C1319B"/>
    <w:rsid w:val="07DA78D8"/>
    <w:rsid w:val="0882164E"/>
    <w:rsid w:val="08F020DD"/>
    <w:rsid w:val="09BC6835"/>
    <w:rsid w:val="0A370A52"/>
    <w:rsid w:val="0A616013"/>
    <w:rsid w:val="0ABD092B"/>
    <w:rsid w:val="0B89672A"/>
    <w:rsid w:val="0BF66F2E"/>
    <w:rsid w:val="0BF90090"/>
    <w:rsid w:val="0C1C4667"/>
    <w:rsid w:val="0C8C1A30"/>
    <w:rsid w:val="0D4C606A"/>
    <w:rsid w:val="0DD67A44"/>
    <w:rsid w:val="0DEA7EF4"/>
    <w:rsid w:val="0DF12CDE"/>
    <w:rsid w:val="0E285928"/>
    <w:rsid w:val="0E5E239A"/>
    <w:rsid w:val="0EBA0DA3"/>
    <w:rsid w:val="0F15052D"/>
    <w:rsid w:val="102A4C15"/>
    <w:rsid w:val="103601FC"/>
    <w:rsid w:val="107D324D"/>
    <w:rsid w:val="107F5909"/>
    <w:rsid w:val="108D51DB"/>
    <w:rsid w:val="10D67B96"/>
    <w:rsid w:val="1275558A"/>
    <w:rsid w:val="13001721"/>
    <w:rsid w:val="139F334D"/>
    <w:rsid w:val="14070365"/>
    <w:rsid w:val="14731EE2"/>
    <w:rsid w:val="148E07E4"/>
    <w:rsid w:val="14D43037"/>
    <w:rsid w:val="14FD5153"/>
    <w:rsid w:val="15982FDB"/>
    <w:rsid w:val="16373386"/>
    <w:rsid w:val="170F7634"/>
    <w:rsid w:val="176164E9"/>
    <w:rsid w:val="17960565"/>
    <w:rsid w:val="1876043F"/>
    <w:rsid w:val="18B5241B"/>
    <w:rsid w:val="194F2BDB"/>
    <w:rsid w:val="197F27A9"/>
    <w:rsid w:val="1B4F70DB"/>
    <w:rsid w:val="1B566A66"/>
    <w:rsid w:val="1BDB664A"/>
    <w:rsid w:val="1D9E517A"/>
    <w:rsid w:val="1DF63163"/>
    <w:rsid w:val="1EBA5FC9"/>
    <w:rsid w:val="1F137ADB"/>
    <w:rsid w:val="1F1B60A5"/>
    <w:rsid w:val="21690C01"/>
    <w:rsid w:val="21A35B30"/>
    <w:rsid w:val="21CD282F"/>
    <w:rsid w:val="21EF12D1"/>
    <w:rsid w:val="22657554"/>
    <w:rsid w:val="227D5EB4"/>
    <w:rsid w:val="22855ABA"/>
    <w:rsid w:val="23536501"/>
    <w:rsid w:val="23FF7CB4"/>
    <w:rsid w:val="2434039E"/>
    <w:rsid w:val="24794EE7"/>
    <w:rsid w:val="24CA09D6"/>
    <w:rsid w:val="24F95938"/>
    <w:rsid w:val="251875C6"/>
    <w:rsid w:val="25386D4D"/>
    <w:rsid w:val="253C3285"/>
    <w:rsid w:val="25F6661D"/>
    <w:rsid w:val="25FC3A79"/>
    <w:rsid w:val="2646479D"/>
    <w:rsid w:val="2647224B"/>
    <w:rsid w:val="265461CB"/>
    <w:rsid w:val="26EC4165"/>
    <w:rsid w:val="27600541"/>
    <w:rsid w:val="27AB4EA2"/>
    <w:rsid w:val="280D52B9"/>
    <w:rsid w:val="2825114D"/>
    <w:rsid w:val="285A2894"/>
    <w:rsid w:val="28EE2036"/>
    <w:rsid w:val="298511A6"/>
    <w:rsid w:val="299C2540"/>
    <w:rsid w:val="29FE60C6"/>
    <w:rsid w:val="2A200C53"/>
    <w:rsid w:val="2ABE511F"/>
    <w:rsid w:val="2AD1447F"/>
    <w:rsid w:val="2B9E356D"/>
    <w:rsid w:val="2BD602F6"/>
    <w:rsid w:val="2BFA4715"/>
    <w:rsid w:val="2C1378A0"/>
    <w:rsid w:val="2C47037B"/>
    <w:rsid w:val="2CA37B5E"/>
    <w:rsid w:val="2CA7091D"/>
    <w:rsid w:val="2CC04995"/>
    <w:rsid w:val="2CDC4D41"/>
    <w:rsid w:val="2CF23912"/>
    <w:rsid w:val="2D6E220C"/>
    <w:rsid w:val="2E1F374A"/>
    <w:rsid w:val="2E697834"/>
    <w:rsid w:val="2EC25694"/>
    <w:rsid w:val="2F040943"/>
    <w:rsid w:val="2F0C760C"/>
    <w:rsid w:val="2F623254"/>
    <w:rsid w:val="2FB12AD1"/>
    <w:rsid w:val="303F09F5"/>
    <w:rsid w:val="307760DF"/>
    <w:rsid w:val="31016B8A"/>
    <w:rsid w:val="31AD4AD2"/>
    <w:rsid w:val="32022F60"/>
    <w:rsid w:val="324847C4"/>
    <w:rsid w:val="328A6F63"/>
    <w:rsid w:val="331A6AA7"/>
    <w:rsid w:val="33A7400E"/>
    <w:rsid w:val="3435504F"/>
    <w:rsid w:val="34BA1748"/>
    <w:rsid w:val="35930BAC"/>
    <w:rsid w:val="37020C27"/>
    <w:rsid w:val="377F7C7D"/>
    <w:rsid w:val="38471ABA"/>
    <w:rsid w:val="3867488A"/>
    <w:rsid w:val="3A913EFC"/>
    <w:rsid w:val="3A9336E2"/>
    <w:rsid w:val="3AAF5655"/>
    <w:rsid w:val="3B7D6D44"/>
    <w:rsid w:val="3BBD1529"/>
    <w:rsid w:val="3C696750"/>
    <w:rsid w:val="3C993719"/>
    <w:rsid w:val="3CC909B0"/>
    <w:rsid w:val="3F484C92"/>
    <w:rsid w:val="3FA35728"/>
    <w:rsid w:val="3FD236F0"/>
    <w:rsid w:val="3FE354E6"/>
    <w:rsid w:val="40AB17CA"/>
    <w:rsid w:val="41320608"/>
    <w:rsid w:val="41BF0B5E"/>
    <w:rsid w:val="421B0EFE"/>
    <w:rsid w:val="42446DF5"/>
    <w:rsid w:val="42747C37"/>
    <w:rsid w:val="42986F60"/>
    <w:rsid w:val="430D7B82"/>
    <w:rsid w:val="438D2DA5"/>
    <w:rsid w:val="43C04A29"/>
    <w:rsid w:val="44111E34"/>
    <w:rsid w:val="441A6544"/>
    <w:rsid w:val="44317188"/>
    <w:rsid w:val="44E16DD1"/>
    <w:rsid w:val="44FD53E4"/>
    <w:rsid w:val="45310626"/>
    <w:rsid w:val="45641926"/>
    <w:rsid w:val="480F06C5"/>
    <w:rsid w:val="488C5998"/>
    <w:rsid w:val="4A515369"/>
    <w:rsid w:val="4A830DC5"/>
    <w:rsid w:val="4ADE1283"/>
    <w:rsid w:val="4BDE36BA"/>
    <w:rsid w:val="4BDF5E5B"/>
    <w:rsid w:val="4C75187A"/>
    <w:rsid w:val="4C7973C3"/>
    <w:rsid w:val="4C811D9B"/>
    <w:rsid w:val="4D4F1908"/>
    <w:rsid w:val="4DB605A5"/>
    <w:rsid w:val="4E200D2A"/>
    <w:rsid w:val="4E766DAB"/>
    <w:rsid w:val="4EAD306D"/>
    <w:rsid w:val="50A45021"/>
    <w:rsid w:val="5139664E"/>
    <w:rsid w:val="51CE44FE"/>
    <w:rsid w:val="51EA5D53"/>
    <w:rsid w:val="525376D2"/>
    <w:rsid w:val="52CA5402"/>
    <w:rsid w:val="52F8537C"/>
    <w:rsid w:val="534B59FD"/>
    <w:rsid w:val="539055ED"/>
    <w:rsid w:val="53A34B22"/>
    <w:rsid w:val="54074A92"/>
    <w:rsid w:val="54077B5B"/>
    <w:rsid w:val="55E9690F"/>
    <w:rsid w:val="5617160B"/>
    <w:rsid w:val="5714297F"/>
    <w:rsid w:val="5726693E"/>
    <w:rsid w:val="58A60278"/>
    <w:rsid w:val="593C017D"/>
    <w:rsid w:val="59841E47"/>
    <w:rsid w:val="59B5180E"/>
    <w:rsid w:val="59E97534"/>
    <w:rsid w:val="5A77195C"/>
    <w:rsid w:val="5BFE6C1A"/>
    <w:rsid w:val="5C5875AC"/>
    <w:rsid w:val="5D414CF5"/>
    <w:rsid w:val="5F4F1CBF"/>
    <w:rsid w:val="5F895A67"/>
    <w:rsid w:val="5FD77E3F"/>
    <w:rsid w:val="60390B13"/>
    <w:rsid w:val="608C7A12"/>
    <w:rsid w:val="60BF2C01"/>
    <w:rsid w:val="62DA5CD4"/>
    <w:rsid w:val="633F296E"/>
    <w:rsid w:val="636C0E97"/>
    <w:rsid w:val="639F6338"/>
    <w:rsid w:val="64326C6C"/>
    <w:rsid w:val="650F6A0F"/>
    <w:rsid w:val="65EB0027"/>
    <w:rsid w:val="662D26DE"/>
    <w:rsid w:val="666D3654"/>
    <w:rsid w:val="6675106B"/>
    <w:rsid w:val="66906931"/>
    <w:rsid w:val="67CF6160"/>
    <w:rsid w:val="682422EC"/>
    <w:rsid w:val="685236FE"/>
    <w:rsid w:val="68531C4E"/>
    <w:rsid w:val="68D050A9"/>
    <w:rsid w:val="68E91B56"/>
    <w:rsid w:val="690000FD"/>
    <w:rsid w:val="697859B8"/>
    <w:rsid w:val="69BF6937"/>
    <w:rsid w:val="69F05E6F"/>
    <w:rsid w:val="6A9042E2"/>
    <w:rsid w:val="6A921275"/>
    <w:rsid w:val="6B0E1227"/>
    <w:rsid w:val="6B7E74BE"/>
    <w:rsid w:val="6C571B18"/>
    <w:rsid w:val="6C7750AF"/>
    <w:rsid w:val="6D3467E5"/>
    <w:rsid w:val="6D79645D"/>
    <w:rsid w:val="6DC857F7"/>
    <w:rsid w:val="6DE85A38"/>
    <w:rsid w:val="6E2C1BBE"/>
    <w:rsid w:val="6F176169"/>
    <w:rsid w:val="6F1A4757"/>
    <w:rsid w:val="6F4708B3"/>
    <w:rsid w:val="6FB24AEE"/>
    <w:rsid w:val="701560A3"/>
    <w:rsid w:val="70301F26"/>
    <w:rsid w:val="704910A2"/>
    <w:rsid w:val="70B93B01"/>
    <w:rsid w:val="70C45ACF"/>
    <w:rsid w:val="71D50501"/>
    <w:rsid w:val="725814B1"/>
    <w:rsid w:val="73596BF6"/>
    <w:rsid w:val="73E47BB2"/>
    <w:rsid w:val="744F62E1"/>
    <w:rsid w:val="751C5160"/>
    <w:rsid w:val="754D5BD5"/>
    <w:rsid w:val="756070CB"/>
    <w:rsid w:val="75F21E91"/>
    <w:rsid w:val="76174637"/>
    <w:rsid w:val="762307A7"/>
    <w:rsid w:val="766440CB"/>
    <w:rsid w:val="76935296"/>
    <w:rsid w:val="771E3790"/>
    <w:rsid w:val="771F15C1"/>
    <w:rsid w:val="77804B1B"/>
    <w:rsid w:val="778E026D"/>
    <w:rsid w:val="77A002F1"/>
    <w:rsid w:val="77B647AF"/>
    <w:rsid w:val="78767B5D"/>
    <w:rsid w:val="79652BD2"/>
    <w:rsid w:val="79712570"/>
    <w:rsid w:val="79BD5113"/>
    <w:rsid w:val="7A0309C8"/>
    <w:rsid w:val="7A1A06CD"/>
    <w:rsid w:val="7A1B50AA"/>
    <w:rsid w:val="7A4826DF"/>
    <w:rsid w:val="7AA047D3"/>
    <w:rsid w:val="7AA120D2"/>
    <w:rsid w:val="7AE9528E"/>
    <w:rsid w:val="7AF4439C"/>
    <w:rsid w:val="7B27157D"/>
    <w:rsid w:val="7B530C6B"/>
    <w:rsid w:val="7BD55743"/>
    <w:rsid w:val="7BE7271E"/>
    <w:rsid w:val="7C0C4D1D"/>
    <w:rsid w:val="7C1F2FC3"/>
    <w:rsid w:val="7C3D0C61"/>
    <w:rsid w:val="7CB1123C"/>
    <w:rsid w:val="7CE243B7"/>
    <w:rsid w:val="7CE519F0"/>
    <w:rsid w:val="7D244CA4"/>
    <w:rsid w:val="7D7B196D"/>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ZTE-Kun Yao</cp:lastModifiedBy>
  <cp:lastPrinted>2019-02-25T13:05:00Z</cp:lastPrinted>
  <dcterms:modified xsi:type="dcterms:W3CDTF">2024-08-09T12:47:37Z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